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D203" w14:textId="77777777" w:rsidR="008311DF" w:rsidRDefault="008311DF" w:rsidP="008311DF">
      <w:pPr>
        <w:spacing w:line="480" w:lineRule="auto"/>
        <w:jc w:val="center"/>
        <w:rPr>
          <w:b/>
          <w:bCs/>
        </w:rPr>
      </w:pPr>
    </w:p>
    <w:p w14:paraId="6F9A48E0" w14:textId="77777777" w:rsidR="008311DF" w:rsidRDefault="008311DF" w:rsidP="008311DF">
      <w:pPr>
        <w:spacing w:line="480" w:lineRule="auto"/>
        <w:jc w:val="center"/>
        <w:rPr>
          <w:b/>
          <w:bCs/>
        </w:rPr>
      </w:pPr>
    </w:p>
    <w:p w14:paraId="771DFD7E" w14:textId="6A34F0A3" w:rsidR="104108F9" w:rsidRDefault="104108F9" w:rsidP="104108F9">
      <w:pPr>
        <w:spacing w:line="480" w:lineRule="auto"/>
        <w:jc w:val="center"/>
        <w:rPr>
          <w:b/>
          <w:bCs/>
        </w:rPr>
      </w:pPr>
    </w:p>
    <w:p w14:paraId="1C2E0C04" w14:textId="7D1058C7" w:rsidR="104108F9" w:rsidRDefault="104108F9" w:rsidP="104108F9">
      <w:pPr>
        <w:spacing w:line="480" w:lineRule="auto"/>
        <w:jc w:val="center"/>
        <w:rPr>
          <w:b/>
          <w:bCs/>
        </w:rPr>
      </w:pPr>
    </w:p>
    <w:p w14:paraId="1F776736" w14:textId="77777777" w:rsidR="008311DF" w:rsidRDefault="008311DF" w:rsidP="008311DF">
      <w:pPr>
        <w:spacing w:line="480" w:lineRule="auto"/>
        <w:jc w:val="center"/>
        <w:rPr>
          <w:b/>
          <w:bCs/>
        </w:rPr>
      </w:pPr>
    </w:p>
    <w:p w14:paraId="3E2615E6" w14:textId="77777777" w:rsidR="008311DF" w:rsidRPr="00C149D0" w:rsidRDefault="008311DF" w:rsidP="008311DF">
      <w:pPr>
        <w:spacing w:line="480" w:lineRule="auto"/>
        <w:jc w:val="center"/>
        <w:rPr>
          <w:rFonts w:ascii="Times New Roman" w:hAnsi="Times New Roman" w:cs="Times New Roman"/>
          <w:b/>
          <w:bCs/>
        </w:rPr>
      </w:pPr>
    </w:p>
    <w:p w14:paraId="1394D711" w14:textId="77777777" w:rsidR="008311DF" w:rsidRPr="00C149D0" w:rsidRDefault="008311DF" w:rsidP="008311DF">
      <w:pPr>
        <w:spacing w:line="480" w:lineRule="auto"/>
        <w:jc w:val="center"/>
        <w:rPr>
          <w:rFonts w:ascii="Times New Roman" w:hAnsi="Times New Roman" w:cs="Times New Roman"/>
          <w:b/>
          <w:bCs/>
        </w:rPr>
      </w:pPr>
    </w:p>
    <w:p w14:paraId="4DA14B59" w14:textId="5622E415" w:rsidR="008311DF" w:rsidRPr="00C149D0" w:rsidRDefault="008311DF" w:rsidP="008311DF">
      <w:pPr>
        <w:spacing w:line="480" w:lineRule="auto"/>
        <w:jc w:val="center"/>
        <w:rPr>
          <w:rFonts w:ascii="Times New Roman" w:hAnsi="Times New Roman" w:cs="Times New Roman"/>
          <w:b/>
          <w:bCs/>
          <w:sz w:val="28"/>
          <w:szCs w:val="28"/>
        </w:rPr>
      </w:pPr>
      <w:r w:rsidRPr="00C149D0">
        <w:rPr>
          <w:rFonts w:ascii="Times New Roman" w:hAnsi="Times New Roman" w:cs="Times New Roman"/>
          <w:b/>
          <w:bCs/>
          <w:sz w:val="28"/>
          <w:szCs w:val="28"/>
        </w:rPr>
        <w:t>Females with ADHD</w:t>
      </w:r>
    </w:p>
    <w:p w14:paraId="4F6B9E40" w14:textId="3103DAFE" w:rsidR="747E2AA1" w:rsidRPr="00C149D0" w:rsidRDefault="747E2AA1" w:rsidP="747E2AA1">
      <w:pPr>
        <w:spacing w:line="480" w:lineRule="auto"/>
        <w:jc w:val="center"/>
        <w:rPr>
          <w:rFonts w:ascii="Times New Roman" w:hAnsi="Times New Roman" w:cs="Times New Roman"/>
          <w:b/>
          <w:bCs/>
          <w:sz w:val="28"/>
          <w:szCs w:val="28"/>
        </w:rPr>
      </w:pPr>
    </w:p>
    <w:p w14:paraId="3A354069" w14:textId="7FE471D2" w:rsidR="00EA7577" w:rsidRPr="00C149D0" w:rsidRDefault="008311DF" w:rsidP="008311DF">
      <w:pPr>
        <w:spacing w:line="480" w:lineRule="auto"/>
        <w:jc w:val="center"/>
        <w:rPr>
          <w:rFonts w:ascii="Times New Roman" w:hAnsi="Times New Roman" w:cs="Times New Roman"/>
        </w:rPr>
      </w:pPr>
      <w:r w:rsidRPr="00C149D0">
        <w:rPr>
          <w:rFonts w:ascii="Times New Roman" w:hAnsi="Times New Roman" w:cs="Times New Roman"/>
        </w:rPr>
        <w:t>DH 111</w:t>
      </w:r>
      <w:r w:rsidR="2195172F" w:rsidRPr="00C149D0">
        <w:rPr>
          <w:rFonts w:ascii="Times New Roman" w:hAnsi="Times New Roman" w:cs="Times New Roman"/>
        </w:rPr>
        <w:t>-</w:t>
      </w:r>
      <w:r w:rsidRPr="00C149D0">
        <w:rPr>
          <w:rFonts w:ascii="Times New Roman" w:hAnsi="Times New Roman" w:cs="Times New Roman"/>
        </w:rPr>
        <w:t>Psychology for the Healthcare Professional</w:t>
      </w:r>
    </w:p>
    <w:p w14:paraId="4711AD5F" w14:textId="74FDB9D2" w:rsidR="008311DF" w:rsidRPr="00C149D0" w:rsidRDefault="008311DF" w:rsidP="008311DF">
      <w:pPr>
        <w:spacing w:line="480" w:lineRule="auto"/>
        <w:jc w:val="center"/>
        <w:rPr>
          <w:rFonts w:ascii="Times New Roman" w:hAnsi="Times New Roman" w:cs="Times New Roman"/>
        </w:rPr>
      </w:pPr>
      <w:r w:rsidRPr="00C149D0">
        <w:rPr>
          <w:rFonts w:ascii="Times New Roman" w:hAnsi="Times New Roman" w:cs="Times New Roman"/>
        </w:rPr>
        <w:t xml:space="preserve">Mr. </w:t>
      </w:r>
      <w:proofErr w:type="spellStart"/>
      <w:r w:rsidRPr="00C149D0">
        <w:rPr>
          <w:rFonts w:ascii="Times New Roman" w:hAnsi="Times New Roman" w:cs="Times New Roman"/>
        </w:rPr>
        <w:t>Metersky</w:t>
      </w:r>
      <w:proofErr w:type="spellEnd"/>
    </w:p>
    <w:p w14:paraId="4270C568" w14:textId="522658A1" w:rsidR="008311DF" w:rsidRPr="00C149D0" w:rsidRDefault="008311DF" w:rsidP="008311DF">
      <w:pPr>
        <w:spacing w:line="480" w:lineRule="auto"/>
        <w:jc w:val="center"/>
        <w:rPr>
          <w:rFonts w:ascii="Times New Roman" w:hAnsi="Times New Roman" w:cs="Times New Roman"/>
        </w:rPr>
      </w:pPr>
      <w:r w:rsidRPr="00C149D0">
        <w:rPr>
          <w:rFonts w:ascii="Times New Roman" w:hAnsi="Times New Roman" w:cs="Times New Roman"/>
        </w:rPr>
        <w:t>Dema Al-</w:t>
      </w:r>
      <w:proofErr w:type="spellStart"/>
      <w:r w:rsidRPr="00C149D0">
        <w:rPr>
          <w:rFonts w:ascii="Times New Roman" w:hAnsi="Times New Roman" w:cs="Times New Roman"/>
        </w:rPr>
        <w:t>Nakeeb</w:t>
      </w:r>
      <w:proofErr w:type="spellEnd"/>
      <w:r w:rsidRPr="00C149D0">
        <w:rPr>
          <w:rFonts w:ascii="Times New Roman" w:hAnsi="Times New Roman" w:cs="Times New Roman"/>
        </w:rPr>
        <w:t xml:space="preserve">, </w:t>
      </w:r>
      <w:proofErr w:type="spellStart"/>
      <w:r w:rsidRPr="00C149D0">
        <w:rPr>
          <w:rFonts w:ascii="Times New Roman" w:hAnsi="Times New Roman" w:cs="Times New Roman"/>
        </w:rPr>
        <w:t>Gurdev</w:t>
      </w:r>
      <w:proofErr w:type="spellEnd"/>
      <w:r w:rsidRPr="00C149D0">
        <w:rPr>
          <w:rFonts w:ascii="Times New Roman" w:hAnsi="Times New Roman" w:cs="Times New Roman"/>
        </w:rPr>
        <w:t xml:space="preserve"> </w:t>
      </w:r>
      <w:proofErr w:type="spellStart"/>
      <w:r w:rsidRPr="00C149D0">
        <w:rPr>
          <w:rFonts w:ascii="Times New Roman" w:hAnsi="Times New Roman" w:cs="Times New Roman"/>
        </w:rPr>
        <w:t>Sahi</w:t>
      </w:r>
      <w:proofErr w:type="spellEnd"/>
      <w:r w:rsidRPr="00C149D0">
        <w:rPr>
          <w:rFonts w:ascii="Times New Roman" w:hAnsi="Times New Roman" w:cs="Times New Roman"/>
        </w:rPr>
        <w:t xml:space="preserve">, Megan </w:t>
      </w:r>
      <w:proofErr w:type="spellStart"/>
      <w:r w:rsidRPr="00C149D0">
        <w:rPr>
          <w:rFonts w:ascii="Times New Roman" w:hAnsi="Times New Roman" w:cs="Times New Roman"/>
        </w:rPr>
        <w:t>Walbauer</w:t>
      </w:r>
      <w:proofErr w:type="spellEnd"/>
      <w:r w:rsidRPr="00C149D0">
        <w:rPr>
          <w:rFonts w:ascii="Times New Roman" w:hAnsi="Times New Roman" w:cs="Times New Roman"/>
        </w:rPr>
        <w:t xml:space="preserve">, </w:t>
      </w:r>
      <w:proofErr w:type="spellStart"/>
      <w:r w:rsidRPr="00C149D0">
        <w:rPr>
          <w:rFonts w:ascii="Times New Roman" w:hAnsi="Times New Roman" w:cs="Times New Roman"/>
        </w:rPr>
        <w:t>Jaipreet</w:t>
      </w:r>
      <w:proofErr w:type="spellEnd"/>
      <w:r w:rsidRPr="00C149D0">
        <w:rPr>
          <w:rFonts w:ascii="Times New Roman" w:hAnsi="Times New Roman" w:cs="Times New Roman"/>
        </w:rPr>
        <w:t xml:space="preserve"> Singh, </w:t>
      </w:r>
      <w:proofErr w:type="spellStart"/>
      <w:r w:rsidRPr="00C149D0">
        <w:rPr>
          <w:rFonts w:ascii="Times New Roman" w:hAnsi="Times New Roman" w:cs="Times New Roman"/>
        </w:rPr>
        <w:t>Gurleen</w:t>
      </w:r>
      <w:proofErr w:type="spellEnd"/>
      <w:r w:rsidRPr="00C149D0">
        <w:rPr>
          <w:rFonts w:ascii="Times New Roman" w:hAnsi="Times New Roman" w:cs="Times New Roman"/>
        </w:rPr>
        <w:t xml:space="preserve"> Dhaliwal</w:t>
      </w:r>
    </w:p>
    <w:p w14:paraId="6F82E679" w14:textId="13D9DB7C" w:rsidR="008311DF" w:rsidRPr="00C149D0" w:rsidRDefault="00B34AD6" w:rsidP="008311DF">
      <w:pPr>
        <w:spacing w:line="480" w:lineRule="auto"/>
        <w:jc w:val="center"/>
        <w:rPr>
          <w:rFonts w:ascii="Times New Roman" w:hAnsi="Times New Roman" w:cs="Times New Roman"/>
        </w:rPr>
      </w:pPr>
      <w:r w:rsidRPr="00C149D0">
        <w:rPr>
          <w:rFonts w:ascii="Times New Roman" w:hAnsi="Times New Roman" w:cs="Times New Roman"/>
        </w:rPr>
        <w:t xml:space="preserve">Due: 2024 </w:t>
      </w:r>
      <w:r w:rsidR="008311DF" w:rsidRPr="00C149D0">
        <w:rPr>
          <w:rFonts w:ascii="Times New Roman" w:hAnsi="Times New Roman" w:cs="Times New Roman"/>
        </w:rPr>
        <w:t>Feb 17</w:t>
      </w:r>
    </w:p>
    <w:p w14:paraId="6D43F2DC" w14:textId="6EF997FE" w:rsidR="61D2D945" w:rsidRDefault="61D2D945" w:rsidP="61D2D945">
      <w:pPr>
        <w:spacing w:line="480" w:lineRule="auto"/>
        <w:jc w:val="center"/>
        <w:rPr>
          <w:rFonts w:ascii="Times New Roman" w:hAnsi="Times New Roman" w:cs="Times New Roman"/>
        </w:rPr>
      </w:pPr>
    </w:p>
    <w:p w14:paraId="10923EEE" w14:textId="5E064FBB" w:rsidR="61D2D945" w:rsidRDefault="61D2D945" w:rsidP="61D2D945">
      <w:pPr>
        <w:spacing w:line="480" w:lineRule="auto"/>
        <w:jc w:val="center"/>
        <w:rPr>
          <w:rFonts w:ascii="Times New Roman" w:hAnsi="Times New Roman" w:cs="Times New Roman"/>
        </w:rPr>
      </w:pPr>
    </w:p>
    <w:p w14:paraId="299A0ACD" w14:textId="0B6D844A" w:rsidR="61D2D945" w:rsidRDefault="61D2D945" w:rsidP="61D2D945">
      <w:pPr>
        <w:spacing w:line="480" w:lineRule="auto"/>
        <w:jc w:val="center"/>
        <w:rPr>
          <w:rFonts w:ascii="Times New Roman" w:hAnsi="Times New Roman" w:cs="Times New Roman"/>
        </w:rPr>
      </w:pPr>
    </w:p>
    <w:p w14:paraId="65B4354B" w14:textId="00680D06" w:rsidR="61D2D945" w:rsidRDefault="61D2D945" w:rsidP="61D2D945">
      <w:pPr>
        <w:spacing w:line="480" w:lineRule="auto"/>
        <w:jc w:val="center"/>
        <w:rPr>
          <w:rFonts w:ascii="Times New Roman" w:hAnsi="Times New Roman" w:cs="Times New Roman"/>
        </w:rPr>
      </w:pPr>
    </w:p>
    <w:p w14:paraId="358320B3" w14:textId="1F6138D0" w:rsidR="61D2D945" w:rsidRDefault="61D2D945" w:rsidP="61D2D945">
      <w:pPr>
        <w:spacing w:line="480" w:lineRule="auto"/>
        <w:jc w:val="center"/>
        <w:rPr>
          <w:rFonts w:ascii="Times New Roman" w:hAnsi="Times New Roman" w:cs="Times New Roman"/>
        </w:rPr>
      </w:pPr>
    </w:p>
    <w:p w14:paraId="7A25F65B" w14:textId="198AF42E" w:rsidR="61D2D945" w:rsidRDefault="61D2D945" w:rsidP="61D2D945">
      <w:pPr>
        <w:spacing w:line="480" w:lineRule="auto"/>
        <w:jc w:val="center"/>
        <w:rPr>
          <w:rFonts w:ascii="Times New Roman" w:hAnsi="Times New Roman" w:cs="Times New Roman"/>
        </w:rPr>
      </w:pPr>
    </w:p>
    <w:p w14:paraId="60E6B03F" w14:textId="5098A3A9" w:rsidR="61D2D945" w:rsidRDefault="61D2D945" w:rsidP="61D2D945">
      <w:pPr>
        <w:spacing w:line="480" w:lineRule="auto"/>
        <w:jc w:val="center"/>
        <w:rPr>
          <w:rFonts w:ascii="Times New Roman" w:hAnsi="Times New Roman" w:cs="Times New Roman"/>
        </w:rPr>
      </w:pPr>
    </w:p>
    <w:p w14:paraId="38E9C749" w14:textId="4B40ADA7" w:rsidR="61D2D945" w:rsidRDefault="61D2D945" w:rsidP="61D2D945">
      <w:pPr>
        <w:spacing w:line="480" w:lineRule="auto"/>
        <w:jc w:val="center"/>
        <w:rPr>
          <w:rFonts w:ascii="Times New Roman" w:hAnsi="Times New Roman" w:cs="Times New Roman"/>
        </w:rPr>
      </w:pPr>
    </w:p>
    <w:p w14:paraId="00C4DFE8" w14:textId="3DE54DA3" w:rsidR="61D2D945" w:rsidRDefault="61D2D945" w:rsidP="61D2D945">
      <w:pPr>
        <w:spacing w:line="480" w:lineRule="auto"/>
        <w:jc w:val="center"/>
        <w:rPr>
          <w:rFonts w:ascii="Times New Roman" w:hAnsi="Times New Roman" w:cs="Times New Roman"/>
        </w:rPr>
      </w:pPr>
    </w:p>
    <w:p w14:paraId="6B5E65F4" w14:textId="38CFD5CF" w:rsidR="357A8806" w:rsidRDefault="357A8806" w:rsidP="357A8806">
      <w:pPr>
        <w:spacing w:line="480" w:lineRule="auto"/>
        <w:jc w:val="center"/>
        <w:rPr>
          <w:rFonts w:ascii="Times New Roman" w:hAnsi="Times New Roman" w:cs="Times New Roman"/>
        </w:rPr>
      </w:pPr>
    </w:p>
    <w:p w14:paraId="7FB1C6EC" w14:textId="7ABB1E47" w:rsidR="34040BBF" w:rsidRDefault="34040BBF" w:rsidP="34040BBF"/>
    <w:p w14:paraId="0C41F5BA" w14:textId="77777777" w:rsidR="00FF6C08" w:rsidRPr="00FF6C08" w:rsidRDefault="00FF6C08" w:rsidP="00FF6C08">
      <w:pPr>
        <w:spacing w:after="240" w:line="480" w:lineRule="auto"/>
        <w:rPr>
          <w:rFonts w:ascii="Times New Roman" w:eastAsia="Times New Roman" w:hAnsi="Times New Roman" w:cs="Times New Roman"/>
          <w:color w:val="000000"/>
          <w:kern w:val="0"/>
          <w14:ligatures w14:val="none"/>
        </w:rPr>
      </w:pPr>
      <w:r w:rsidRPr="00FF6C08">
        <w:rPr>
          <w:rFonts w:ascii="Times New Roman" w:eastAsia="Times New Roman" w:hAnsi="Times New Roman" w:cs="Times New Roman"/>
          <w:b/>
          <w:bCs/>
          <w:color w:val="000000"/>
          <w:kern w:val="0"/>
          <w:u w:val="single"/>
          <w14:ligatures w14:val="none"/>
        </w:rPr>
        <w:t>Purpose</w:t>
      </w:r>
    </w:p>
    <w:p w14:paraId="597C9851" w14:textId="55161788" w:rsidR="00FF6C08" w:rsidRPr="00FF6C08" w:rsidRDefault="2CB2E6C4" w:rsidP="2D94EBBF">
      <w:pPr>
        <w:spacing w:after="240" w:line="480" w:lineRule="auto"/>
        <w:ind w:firstLine="720"/>
        <w:rPr>
          <w:rFonts w:ascii="Times New Roman" w:eastAsia="Times New Roman" w:hAnsi="Times New Roman" w:cs="Times New Roman"/>
          <w:color w:val="0E101A"/>
          <w:kern w:val="0"/>
          <w14:ligatures w14:val="none"/>
        </w:rPr>
      </w:pPr>
      <w:r w:rsidRPr="2D94EBBF">
        <w:rPr>
          <w:rFonts w:ascii="Times New Roman" w:eastAsia="Times New Roman" w:hAnsi="Times New Roman" w:cs="Times New Roman"/>
          <w:color w:val="0E101A"/>
        </w:rPr>
        <w:t>In a research article by Young et al. “Females with ADHD: an expert consensus statement taking a lifespan approach providing guidance for the identification and treatment of attention-deficit/hyperactivity disorder in girls and women” it expresses the difficulty in identifying and providing treatment for females with ADHD. The aim of the consensus is to recognize how to better understand ADHD in females as well as improve the process of evaluation, diagnosis, and treatment. Acknowledging the difference between the number of cases in males and females highlights a significant percentage of females go undiagnosed. This plays a crucial role in their development of social skills, education, and mental health. The study hypothesizes the importance of providing a thorough evaluation along with suitable treatment to enhance results and the overall welfare of females diagnosed with ADHD.</w:t>
      </w:r>
    </w:p>
    <w:p w14:paraId="1BEC3AAA" w14:textId="77777777" w:rsidR="00FF6C08" w:rsidRPr="00FF6C08" w:rsidRDefault="00FF6C08" w:rsidP="00FF6C08">
      <w:pPr>
        <w:spacing w:after="240" w:line="480" w:lineRule="auto"/>
        <w:jc w:val="both"/>
        <w:rPr>
          <w:rFonts w:ascii="Times New Roman" w:eastAsia="Times New Roman" w:hAnsi="Times New Roman" w:cs="Times New Roman"/>
          <w:color w:val="000000"/>
          <w:kern w:val="0"/>
          <w14:ligatures w14:val="none"/>
        </w:rPr>
      </w:pPr>
      <w:r w:rsidRPr="00FF6C08">
        <w:rPr>
          <w:rFonts w:ascii="Times New Roman" w:eastAsia="Times New Roman" w:hAnsi="Times New Roman" w:cs="Times New Roman"/>
          <w:b/>
          <w:bCs/>
          <w:color w:val="000000"/>
          <w:kern w:val="0"/>
          <w:u w:val="single"/>
          <w14:ligatures w14:val="none"/>
        </w:rPr>
        <w:t>Methods</w:t>
      </w:r>
    </w:p>
    <w:p w14:paraId="50933A10" w14:textId="3ACCB4B7" w:rsidR="00FF6C08" w:rsidRPr="00FF6C08" w:rsidRDefault="32954B06" w:rsidP="2D94EBBF">
      <w:pPr>
        <w:spacing w:after="240" w:line="480" w:lineRule="auto"/>
        <w:ind w:firstLine="720"/>
      </w:pPr>
      <w:r w:rsidRPr="2D94EBBF">
        <w:rPr>
          <w:rFonts w:ascii="Times New Roman" w:eastAsia="Times New Roman" w:hAnsi="Times New Roman" w:cs="Times New Roman"/>
          <w:color w:val="0E101A"/>
        </w:rPr>
        <w:t>A group of professionals specialized in ADHD</w:t>
      </w:r>
      <w:r w:rsidR="003E064A">
        <w:rPr>
          <w:rFonts w:ascii="Times New Roman" w:eastAsia="Times New Roman" w:hAnsi="Times New Roman" w:cs="Times New Roman"/>
          <w:color w:val="0E101A"/>
        </w:rPr>
        <w:t xml:space="preserve">, the </w:t>
      </w:r>
      <w:r w:rsidR="00891BDD">
        <w:rPr>
          <w:rFonts w:ascii="Times New Roman" w:eastAsia="Times New Roman" w:hAnsi="Times New Roman" w:cs="Times New Roman"/>
          <w:color w:val="0E101A"/>
        </w:rPr>
        <w:t>United King</w:t>
      </w:r>
      <w:r w:rsidR="008E4F9C">
        <w:rPr>
          <w:rFonts w:ascii="Times New Roman" w:eastAsia="Times New Roman" w:hAnsi="Times New Roman" w:cs="Times New Roman"/>
          <w:color w:val="0E101A"/>
        </w:rPr>
        <w:t xml:space="preserve">dom ADHD partnership, </w:t>
      </w:r>
      <w:r w:rsidRPr="2D94EBBF">
        <w:rPr>
          <w:rFonts w:ascii="Times New Roman" w:eastAsia="Times New Roman" w:hAnsi="Times New Roman" w:cs="Times New Roman"/>
          <w:color w:val="0E101A"/>
        </w:rPr>
        <w:t xml:space="preserve">gathered in London for a meeting to involve practitioners from all areas to review ADHD in women. The group included a wide range of health specialists like nurses, doctors, psychiatrists, counselors, and more. The attendees engaged in a discussion to reach a consensus. The meeting had presentations about ADHD symptoms in women displaying differently than in males, they differ in intensity, coexisting conditions, and related functioning in its manifestation. Referral factors for (people) with ADHD include hormonal imbalance, cognitive clouding, academic difficulties, and environmental barriers in relation to relationships and social interactions. Following presentations, three groups were formed and allowed question and answer sessions to take place. Each group had the responsibility to provide practical solutions in relation to the </w:t>
      </w:r>
      <w:r w:rsidRPr="2D94EBBF">
        <w:rPr>
          <w:rFonts w:ascii="Times New Roman" w:eastAsia="Times New Roman" w:hAnsi="Times New Roman" w:cs="Times New Roman"/>
          <w:color w:val="0E101A"/>
        </w:rPr>
        <w:lastRenderedPageBreak/>
        <w:t>specific topic they were assigned. Invigilation was conducted by group leaders and summari</w:t>
      </w:r>
      <w:r w:rsidR="6CF79FD1" w:rsidRPr="2D94EBBF">
        <w:rPr>
          <w:rFonts w:ascii="Times New Roman" w:eastAsia="Times New Roman" w:hAnsi="Times New Roman" w:cs="Times New Roman"/>
          <w:color w:val="0E101A"/>
        </w:rPr>
        <w:t>z</w:t>
      </w:r>
      <w:r w:rsidRPr="2D94EBBF">
        <w:rPr>
          <w:rFonts w:ascii="Times New Roman" w:eastAsia="Times New Roman" w:hAnsi="Times New Roman" w:cs="Times New Roman"/>
          <w:color w:val="0E101A"/>
        </w:rPr>
        <w:t xml:space="preserve">ed. </w:t>
      </w:r>
      <w:r w:rsidR="00570A6A">
        <w:rPr>
          <w:rFonts w:ascii="Times New Roman" w:eastAsia="Times New Roman" w:hAnsi="Times New Roman" w:cs="Times New Roman"/>
          <w:color w:val="0E101A"/>
        </w:rPr>
        <w:t>After</w:t>
      </w:r>
      <w:r w:rsidRPr="2D94EBBF">
        <w:rPr>
          <w:rFonts w:ascii="Times New Roman" w:eastAsia="Times New Roman" w:hAnsi="Times New Roman" w:cs="Times New Roman"/>
          <w:color w:val="0E101A"/>
        </w:rPr>
        <w:t xml:space="preserve"> discussion, all group members came together to rediscuss and share results to reach a final consensus including circulating notes to review and ultimately be agreed upon.</w:t>
      </w:r>
    </w:p>
    <w:p w14:paraId="3B275B65" w14:textId="77777777" w:rsidR="00FF6C08" w:rsidRPr="00FF6C08" w:rsidRDefault="00FF6C08" w:rsidP="00FF6C08">
      <w:pPr>
        <w:spacing w:after="240" w:line="480" w:lineRule="auto"/>
        <w:rPr>
          <w:rFonts w:ascii="Times New Roman" w:eastAsia="Times New Roman" w:hAnsi="Times New Roman" w:cs="Times New Roman"/>
          <w:color w:val="000000"/>
          <w:kern w:val="0"/>
          <w14:ligatures w14:val="none"/>
        </w:rPr>
      </w:pPr>
      <w:r w:rsidRPr="00FF6C08">
        <w:rPr>
          <w:rFonts w:ascii="Times New Roman" w:eastAsia="Times New Roman" w:hAnsi="Times New Roman" w:cs="Times New Roman"/>
          <w:b/>
          <w:bCs/>
          <w:color w:val="000000"/>
          <w:kern w:val="0"/>
          <w:u w:val="single"/>
          <w14:ligatures w14:val="none"/>
        </w:rPr>
        <w:t>Results</w:t>
      </w:r>
    </w:p>
    <w:p w14:paraId="4C3B6198" w14:textId="67F487B7" w:rsidR="193F860C" w:rsidRDefault="193F860C" w:rsidP="2D94EBBF">
      <w:pPr>
        <w:spacing w:after="240" w:line="480" w:lineRule="auto"/>
        <w:ind w:firstLine="720"/>
        <w:rPr>
          <w:rFonts w:ascii="Times New Roman" w:eastAsia="Times New Roman" w:hAnsi="Times New Roman" w:cs="Times New Roman"/>
          <w:color w:val="0E101A"/>
        </w:rPr>
      </w:pPr>
      <w:r w:rsidRPr="2D94EBBF">
        <w:rPr>
          <w:rFonts w:ascii="Times New Roman" w:eastAsia="Times New Roman" w:hAnsi="Times New Roman" w:cs="Times New Roman"/>
          <w:color w:val="0E101A"/>
        </w:rPr>
        <w:t>The article’s consensus provides useful information and guidelines for practitioners dealing with ADHD patients that include full assessments, interviews, objective testing, and rating scales. Assessment should be centered on female behavior, in accordance with identifying coexisting illnesses such as mood-disorders, autism spectrum disorder, anxiety, and eating disorders in women and girls with ADHD. The consensus also emphasizes the significance of psychoeducation, frequent treatment evaluations, and personalized therapy goals to enhance long-term function advantages. It describes strategies and treatments for female ADHD by highlighting the importance of non-pharmacological and pharmaceutical approaches. To address potential variations in symptom severity, emphasis is also given to the significance of regulating review and therapy adjustments during important periods of hormonal transitions, such as menopause and pregnancy. In addition, it highlights the importance of adequately managing potential interactions between ADHD drugs and other substances, as well as discussing the risks of substance use while on ADHD medication.</w:t>
      </w:r>
    </w:p>
    <w:p w14:paraId="7D56B9C7" w14:textId="77777777" w:rsidR="00FF6C08" w:rsidRPr="00FF6C08" w:rsidRDefault="00FF6C08" w:rsidP="00FF6C08">
      <w:pPr>
        <w:spacing w:after="240" w:line="480" w:lineRule="auto"/>
        <w:rPr>
          <w:rFonts w:ascii="Times New Roman" w:eastAsia="Times New Roman" w:hAnsi="Times New Roman" w:cs="Times New Roman"/>
          <w:color w:val="000000"/>
          <w:kern w:val="0"/>
          <w14:ligatures w14:val="none"/>
        </w:rPr>
      </w:pPr>
      <w:r w:rsidRPr="00FF6C08">
        <w:rPr>
          <w:rFonts w:ascii="Times New Roman" w:eastAsia="Times New Roman" w:hAnsi="Times New Roman" w:cs="Times New Roman"/>
          <w:b/>
          <w:bCs/>
          <w:color w:val="000000"/>
          <w:kern w:val="0"/>
          <w:u w:val="single"/>
          <w14:ligatures w14:val="none"/>
        </w:rPr>
        <w:t>Conclusion</w:t>
      </w:r>
    </w:p>
    <w:p w14:paraId="0FC18766" w14:textId="1D1B00BD" w:rsidR="1BD1FE9D" w:rsidRDefault="1BD1FE9D" w:rsidP="2D94EBBF">
      <w:pPr>
        <w:spacing w:after="240" w:line="480" w:lineRule="auto"/>
        <w:ind w:firstLine="720"/>
        <w:rPr>
          <w:rFonts w:ascii="Times New Roman" w:eastAsia="Times New Roman" w:hAnsi="Times New Roman" w:cs="Times New Roman"/>
          <w:color w:val="0E101A"/>
        </w:rPr>
      </w:pPr>
      <w:r w:rsidRPr="2D94EBBF">
        <w:rPr>
          <w:rFonts w:ascii="Times New Roman" w:eastAsia="Times New Roman" w:hAnsi="Times New Roman" w:cs="Times New Roman"/>
          <w:color w:val="0E101A"/>
        </w:rPr>
        <w:t xml:space="preserve">In conclusion, effective mediations are anticipated to improve the lives of impacted girls and women with ADHD, and the families involved, by boosting productivity, reducing the need for resources, and improving outcomes for these groups of people. This consensus provides girls and women with ADHD with efficient diagnosis, treatment, and support. To help with </w:t>
      </w:r>
      <w:r w:rsidRPr="2D94EBBF">
        <w:rPr>
          <w:rFonts w:ascii="Times New Roman" w:eastAsia="Times New Roman" w:hAnsi="Times New Roman" w:cs="Times New Roman"/>
          <w:color w:val="0E101A"/>
        </w:rPr>
        <w:lastRenderedPageBreak/>
        <w:t>identification viewing, a more delicate internalized presentation is common in females and girls, it is significant to avoid common stereotypes about ADHD that may be present in males. When treating females with ADHD, it's important to consider a lifelong model of care that</w:t>
      </w:r>
      <w:r w:rsidR="4786FBE2" w:rsidRPr="2D94EBBF">
        <w:rPr>
          <w:rFonts w:ascii="Times New Roman" w:eastAsia="Times New Roman" w:hAnsi="Times New Roman" w:cs="Times New Roman"/>
          <w:color w:val="0E101A"/>
        </w:rPr>
        <w:t xml:space="preserve"> </w:t>
      </w:r>
      <w:r w:rsidRPr="2D94EBBF">
        <w:rPr>
          <w:rFonts w:ascii="Times New Roman" w:eastAsia="Times New Roman" w:hAnsi="Times New Roman" w:cs="Times New Roman"/>
          <w:color w:val="0E101A"/>
        </w:rPr>
        <w:t>acknowledges the intricate and dynamic nature of the development of ADHD symptoms in females. Therefore, women with ADHD must receive assistance and therapy throughout their lifetime.</w:t>
      </w:r>
    </w:p>
    <w:p w14:paraId="3ADD7FBA" w14:textId="1D07B941" w:rsidR="2D94EBBF" w:rsidRDefault="2D94EBBF" w:rsidP="2D94EBBF">
      <w:pPr>
        <w:spacing w:after="240" w:line="480" w:lineRule="auto"/>
        <w:ind w:firstLine="720"/>
        <w:rPr>
          <w:rFonts w:ascii="Times New Roman" w:eastAsia="Times New Roman" w:hAnsi="Times New Roman" w:cs="Times New Roman"/>
          <w:color w:val="000000" w:themeColor="text1"/>
        </w:rPr>
      </w:pPr>
    </w:p>
    <w:p w14:paraId="4B5866F4" w14:textId="77777777" w:rsidR="00FF6C08" w:rsidRPr="00FF6C08" w:rsidRDefault="00FF6C08" w:rsidP="00FF6C08">
      <w:pPr>
        <w:spacing w:after="240"/>
        <w:rPr>
          <w:rFonts w:ascii="Times New Roman" w:eastAsia="Times New Roman" w:hAnsi="Times New Roman" w:cs="Times New Roman"/>
          <w:kern w:val="0"/>
          <w14:ligatures w14:val="none"/>
        </w:rPr>
      </w:pPr>
    </w:p>
    <w:p w14:paraId="19727437" w14:textId="77777777" w:rsidR="00FF6C08" w:rsidRPr="00FF6C08" w:rsidRDefault="00FF6C08" w:rsidP="00FF6C08">
      <w:pPr>
        <w:rPr>
          <w:rFonts w:ascii="Times New Roman" w:eastAsia="Times New Roman" w:hAnsi="Times New Roman" w:cs="Times New Roman"/>
          <w:kern w:val="0"/>
          <w14:ligatures w14:val="none"/>
        </w:rPr>
      </w:pPr>
    </w:p>
    <w:p w14:paraId="0846C024" w14:textId="5D340085" w:rsidR="00FF6C08" w:rsidRDefault="00FF6C08">
      <w:pPr>
        <w:rPr>
          <w:rFonts w:ascii="Times New Roman" w:eastAsia="Times New Roman" w:hAnsi="Times New Roman" w:cs="Times New Roman"/>
          <w:b/>
          <w:bCs/>
        </w:rPr>
      </w:pPr>
      <w:r>
        <w:rPr>
          <w:rFonts w:ascii="Times New Roman" w:eastAsia="Times New Roman" w:hAnsi="Times New Roman" w:cs="Times New Roman"/>
          <w:b/>
          <w:bCs/>
        </w:rPr>
        <w:br w:type="page"/>
      </w:r>
    </w:p>
    <w:p w14:paraId="2F04D139" w14:textId="77777777" w:rsidR="00FF6C08" w:rsidRDefault="00FF6C08" w:rsidP="001E326D">
      <w:pPr>
        <w:spacing w:after="240"/>
        <w:jc w:val="center"/>
        <w:rPr>
          <w:rFonts w:ascii="Times New Roman" w:eastAsia="Times New Roman" w:hAnsi="Times New Roman" w:cs="Times New Roman"/>
          <w:b/>
          <w:bCs/>
        </w:rPr>
      </w:pPr>
    </w:p>
    <w:p w14:paraId="0DD5D712" w14:textId="40458B11" w:rsidR="2D94EBBF" w:rsidRDefault="0041247C" w:rsidP="002F418F">
      <w:pPr>
        <w:spacing w:after="240"/>
        <w:jc w:val="center"/>
        <w:rPr>
          <w:rFonts w:ascii="Times New Roman" w:eastAsia="Times New Roman" w:hAnsi="Times New Roman" w:cs="Times New Roman"/>
          <w:b/>
          <w:color w:val="171717" w:themeColor="background2" w:themeShade="1A"/>
        </w:rPr>
      </w:pPr>
      <w:r w:rsidRPr="65E210A9">
        <w:rPr>
          <w:rFonts w:ascii="Times New Roman" w:eastAsia="Times New Roman" w:hAnsi="Times New Roman" w:cs="Times New Roman"/>
          <w:b/>
          <w:color w:val="171717" w:themeColor="background2" w:themeShade="1A"/>
        </w:rPr>
        <w:t>LIT</w:t>
      </w:r>
      <w:r w:rsidR="3C4DDD23" w:rsidRPr="65E210A9">
        <w:rPr>
          <w:rFonts w:ascii="Times New Roman" w:eastAsia="Times New Roman" w:hAnsi="Times New Roman" w:cs="Times New Roman"/>
          <w:b/>
          <w:color w:val="171717" w:themeColor="background2" w:themeShade="1A"/>
        </w:rPr>
        <w:t>E</w:t>
      </w:r>
      <w:r w:rsidRPr="65E210A9">
        <w:rPr>
          <w:rFonts w:ascii="Times New Roman" w:eastAsia="Times New Roman" w:hAnsi="Times New Roman" w:cs="Times New Roman"/>
          <w:b/>
          <w:color w:val="171717" w:themeColor="background2" w:themeShade="1A"/>
        </w:rPr>
        <w:t>RATURE CITED</w:t>
      </w:r>
    </w:p>
    <w:p w14:paraId="48A13652" w14:textId="783C39A2" w:rsidR="311D72BF" w:rsidRPr="00796580" w:rsidRDefault="718B96C3" w:rsidP="00CA2E10">
      <w:pPr>
        <w:spacing w:after="240"/>
        <w:ind w:left="720" w:hanging="720"/>
        <w:rPr>
          <w:rFonts w:ascii="Times New Roman" w:eastAsia="Times New Roman" w:hAnsi="Times New Roman" w:cs="Times New Roman"/>
          <w:color w:val="0D0D0D" w:themeColor="text1" w:themeTint="F2"/>
        </w:rPr>
        <w:sectPr w:rsidR="311D72BF" w:rsidRPr="00796580" w:rsidSect="00634626">
          <w:footerReference w:type="even" r:id="rId7"/>
          <w:footerReference w:type="default" r:id="rId8"/>
          <w:pgSz w:w="12240" w:h="15840"/>
          <w:pgMar w:top="1440" w:right="1440" w:bottom="1440" w:left="1440" w:header="720" w:footer="720" w:gutter="0"/>
          <w:cols w:space="708"/>
        </w:sectPr>
      </w:pPr>
      <w:r w:rsidRPr="00796580">
        <w:rPr>
          <w:rFonts w:ascii="Times New Roman" w:eastAsia="Times New Roman" w:hAnsi="Times New Roman" w:cs="Times New Roman"/>
          <w:color w:val="0D0D0D" w:themeColor="text1" w:themeTint="F2"/>
        </w:rPr>
        <w:t xml:space="preserve">Young S, Adamo N, </w:t>
      </w:r>
      <w:proofErr w:type="spellStart"/>
      <w:r w:rsidRPr="00796580">
        <w:rPr>
          <w:rFonts w:ascii="Times New Roman" w:eastAsia="Times New Roman" w:hAnsi="Times New Roman" w:cs="Times New Roman"/>
          <w:color w:val="0D0D0D" w:themeColor="text1" w:themeTint="F2"/>
        </w:rPr>
        <w:t>Ásgeirsdóttir</w:t>
      </w:r>
      <w:proofErr w:type="spellEnd"/>
      <w:r w:rsidRPr="00796580">
        <w:rPr>
          <w:rFonts w:ascii="Times New Roman" w:eastAsia="Times New Roman" w:hAnsi="Times New Roman" w:cs="Times New Roman"/>
          <w:color w:val="0D0D0D" w:themeColor="text1" w:themeTint="F2"/>
        </w:rPr>
        <w:t xml:space="preserve"> BB, </w:t>
      </w:r>
      <w:r w:rsidR="407BD7C1" w:rsidRPr="00796580">
        <w:rPr>
          <w:rFonts w:ascii="Times New Roman" w:eastAsia="Times New Roman" w:hAnsi="Times New Roman" w:cs="Times New Roman"/>
          <w:color w:val="0D0D0D" w:themeColor="text1" w:themeTint="F2"/>
        </w:rPr>
        <w:t>et</w:t>
      </w:r>
      <w:r w:rsidRPr="00796580">
        <w:rPr>
          <w:rFonts w:ascii="Times New Roman" w:eastAsia="Times New Roman" w:hAnsi="Times New Roman" w:cs="Times New Roman"/>
          <w:color w:val="0D0D0D" w:themeColor="text1" w:themeTint="F2"/>
        </w:rPr>
        <w:t xml:space="preserve"> al. Females with ADHD: An expert </w:t>
      </w:r>
      <w:r w:rsidR="008F2BA8" w:rsidRPr="00796580">
        <w:rPr>
          <w:rFonts w:ascii="Times New Roman" w:eastAsia="Times New Roman" w:hAnsi="Times New Roman" w:cs="Times New Roman"/>
          <w:color w:val="0D0D0D" w:themeColor="text1" w:themeTint="F2"/>
        </w:rPr>
        <w:t>consensus</w:t>
      </w:r>
      <w:r w:rsidR="0067021C">
        <w:rPr>
          <w:rFonts w:ascii="Times New Roman" w:eastAsia="Times New Roman" w:hAnsi="Times New Roman" w:cs="Times New Roman"/>
          <w:color w:val="0D0D0D" w:themeColor="text1" w:themeTint="F2"/>
        </w:rPr>
        <w:t xml:space="preserve"> </w:t>
      </w:r>
      <w:r w:rsidR="008F2BA8" w:rsidRPr="00796580">
        <w:rPr>
          <w:rFonts w:ascii="Times New Roman" w:eastAsia="Times New Roman" w:hAnsi="Times New Roman" w:cs="Times New Roman"/>
          <w:color w:val="0D0D0D" w:themeColor="text1" w:themeTint="F2"/>
        </w:rPr>
        <w:t>statement</w:t>
      </w:r>
      <w:r w:rsidRPr="00796580">
        <w:rPr>
          <w:rFonts w:ascii="Times New Roman" w:eastAsia="Times New Roman" w:hAnsi="Times New Roman" w:cs="Times New Roman"/>
          <w:color w:val="0D0D0D" w:themeColor="text1" w:themeTint="F2"/>
        </w:rPr>
        <w:t xml:space="preserve"> taking a lifespan approach providing guidance for the identification and</w:t>
      </w:r>
      <w:r w:rsidR="00F849ED" w:rsidRPr="00796580">
        <w:rPr>
          <w:color w:val="0D0D0D" w:themeColor="text1" w:themeTint="F2"/>
        </w:rPr>
        <w:t xml:space="preserve"> </w:t>
      </w:r>
      <w:r w:rsidRPr="00796580">
        <w:rPr>
          <w:rFonts w:ascii="Times New Roman" w:eastAsia="Times New Roman" w:hAnsi="Times New Roman" w:cs="Times New Roman"/>
          <w:color w:val="0D0D0D" w:themeColor="text1" w:themeTint="F2"/>
        </w:rPr>
        <w:t>treatment of attention-deficit/ hyperactivity disorder in girls and women. BMC</w:t>
      </w:r>
      <w:r w:rsidR="407BD7C1" w:rsidRPr="00796580">
        <w:rPr>
          <w:rFonts w:ascii="Times New Roman" w:eastAsia="Times New Roman" w:hAnsi="Times New Roman" w:cs="Times New Roman"/>
          <w:color w:val="0D0D0D" w:themeColor="text1" w:themeTint="F2"/>
        </w:rPr>
        <w:t xml:space="preserve"> </w:t>
      </w:r>
      <w:r w:rsidRPr="00796580">
        <w:rPr>
          <w:rFonts w:ascii="Times New Roman" w:eastAsia="Times New Roman" w:hAnsi="Times New Roman" w:cs="Times New Roman"/>
          <w:color w:val="0D0D0D" w:themeColor="text1" w:themeTint="F2"/>
        </w:rPr>
        <w:t xml:space="preserve">Psychiatry [Internet]. 2020 Aug 12 [citied 2024 Feb 14];20(1):404. </w:t>
      </w:r>
      <w:r w:rsidR="407BD7C1" w:rsidRPr="00796580">
        <w:rPr>
          <w:rFonts w:ascii="Times New Roman" w:eastAsia="Times New Roman" w:hAnsi="Times New Roman" w:cs="Times New Roman"/>
          <w:color w:val="0D0D0D" w:themeColor="text1" w:themeTint="F2"/>
        </w:rPr>
        <w:t>Available from</w:t>
      </w:r>
      <w:r w:rsidR="002F418F" w:rsidRPr="00796580">
        <w:rPr>
          <w:color w:val="0D0D0D" w:themeColor="text1" w:themeTint="F2"/>
        </w:rPr>
        <w:t xml:space="preserve">: </w:t>
      </w:r>
      <w:hyperlink r:id="rId9" w:history="1">
        <w:r w:rsidR="002F418F" w:rsidRPr="00796580">
          <w:rPr>
            <w:rStyle w:val="Hyperlink"/>
            <w:rFonts w:ascii="Times New Roman" w:eastAsia="Times New Roman" w:hAnsi="Times New Roman" w:cs="Times New Roman"/>
            <w:color w:val="0D0D0D" w:themeColor="text1" w:themeTint="F2"/>
          </w:rPr>
          <w:t>https://www.ncbi.nlm.nih.gov/pmc/articles/PMC7422602/</w:t>
        </w:r>
      </w:hyperlink>
    </w:p>
    <w:p w14:paraId="7A5C818F" w14:textId="7AF936BA" w:rsidR="38D1ED3C" w:rsidRDefault="38D1ED3C" w:rsidP="38D1ED3C">
      <w:pPr>
        <w:spacing w:after="240"/>
        <w:rPr>
          <w:rFonts w:ascii="Times New Roman" w:eastAsia="Times New Roman" w:hAnsi="Times New Roman" w:cs="Times New Roman"/>
        </w:rPr>
      </w:pPr>
    </w:p>
    <w:p w14:paraId="704C71CB" w14:textId="5D20152F" w:rsidR="4AE827D1" w:rsidRDefault="4AE827D1" w:rsidP="4AE827D1">
      <w:pPr>
        <w:spacing w:after="240"/>
        <w:jc w:val="center"/>
        <w:rPr>
          <w:rFonts w:ascii="Times New Roman" w:eastAsia="Times New Roman" w:hAnsi="Times New Roman" w:cs="Times New Roman"/>
        </w:rPr>
      </w:pPr>
    </w:p>
    <w:p w14:paraId="119BE807" w14:textId="2B534770" w:rsidR="4AE827D1" w:rsidRDefault="4AE827D1" w:rsidP="4AE827D1">
      <w:pPr>
        <w:spacing w:after="240"/>
        <w:jc w:val="center"/>
        <w:rPr>
          <w:rFonts w:ascii="Times New Roman" w:eastAsia="Times New Roman" w:hAnsi="Times New Roman" w:cs="Times New Roman"/>
        </w:rPr>
      </w:pPr>
    </w:p>
    <w:p w14:paraId="6F083384" w14:textId="3DD9FC9F" w:rsidR="4AE827D1" w:rsidRDefault="4AE827D1" w:rsidP="4AE827D1">
      <w:pPr>
        <w:spacing w:after="240"/>
        <w:jc w:val="center"/>
        <w:rPr>
          <w:rStyle w:val="Hyperlink"/>
          <w:rFonts w:ascii="Times New Roman" w:eastAsia="Times New Roman" w:hAnsi="Times New Roman" w:cs="Times New Roman"/>
          <w:color w:val="222A35" w:themeColor="text2" w:themeShade="80"/>
        </w:rPr>
      </w:pPr>
    </w:p>
    <w:p w14:paraId="5A6C8DCF" w14:textId="4F34E486" w:rsidR="4AE827D1" w:rsidRDefault="4AE827D1" w:rsidP="4AE827D1">
      <w:pPr>
        <w:spacing w:after="240"/>
        <w:jc w:val="center"/>
        <w:rPr>
          <w:rStyle w:val="Hyperlink"/>
          <w:rFonts w:ascii="Times New Roman" w:eastAsia="Times New Roman" w:hAnsi="Times New Roman" w:cs="Times New Roman"/>
          <w:color w:val="222A35" w:themeColor="text2" w:themeShade="80"/>
        </w:rPr>
      </w:pPr>
    </w:p>
    <w:p w14:paraId="57DCCB2C" w14:textId="198C1A0F" w:rsidR="5BA03C83" w:rsidRDefault="5BA03C83" w:rsidP="5BA03C83">
      <w:pPr>
        <w:spacing w:after="240"/>
        <w:rPr>
          <w:rFonts w:ascii="Times New Roman" w:eastAsia="Times New Roman" w:hAnsi="Times New Roman" w:cs="Times New Roman"/>
          <w:color w:val="171717" w:themeColor="background2" w:themeShade="1A"/>
        </w:rPr>
      </w:pPr>
    </w:p>
    <w:p w14:paraId="7A963753" w14:textId="3B1C556B" w:rsidR="5B004E71" w:rsidRDefault="5B004E71" w:rsidP="5B004E71">
      <w:pPr>
        <w:spacing w:after="240"/>
        <w:rPr>
          <w:rFonts w:ascii="Times New Roman" w:eastAsia="Times New Roman" w:hAnsi="Times New Roman" w:cs="Times New Roman"/>
        </w:rPr>
      </w:pPr>
    </w:p>
    <w:p w14:paraId="789939F2" w14:textId="579FB82A" w:rsidR="008311DF" w:rsidRDefault="008311DF"/>
    <w:sectPr w:rsidR="008311DF" w:rsidSect="0063462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BFCF" w14:textId="77777777" w:rsidR="00DE10A3" w:rsidRDefault="00DE10A3" w:rsidP="00DE10A3">
      <w:r>
        <w:separator/>
      </w:r>
    </w:p>
  </w:endnote>
  <w:endnote w:type="continuationSeparator" w:id="0">
    <w:p w14:paraId="4F06763D" w14:textId="77777777" w:rsidR="00DE10A3" w:rsidRDefault="00DE10A3" w:rsidP="00DE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429585"/>
      <w:docPartObj>
        <w:docPartGallery w:val="Page Numbers (Bottom of Page)"/>
        <w:docPartUnique/>
      </w:docPartObj>
    </w:sdtPr>
    <w:sdtContent>
      <w:p w14:paraId="6772C1EC" w14:textId="15924FA1" w:rsidR="00DE10A3" w:rsidRDefault="00DE10A3" w:rsidP="00EB7E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BB3F0" w14:textId="77777777" w:rsidR="00DE10A3" w:rsidRDefault="00DE10A3" w:rsidP="00DE1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6098866"/>
      <w:docPartObj>
        <w:docPartGallery w:val="Page Numbers (Bottom of Page)"/>
        <w:docPartUnique/>
      </w:docPartObj>
    </w:sdtPr>
    <w:sdtContent>
      <w:p w14:paraId="6A75CAAA" w14:textId="3DD16C91" w:rsidR="00DE10A3" w:rsidRDefault="00DE10A3" w:rsidP="00EB7E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49635E" w14:textId="77777777" w:rsidR="00DE10A3" w:rsidRDefault="00DE10A3" w:rsidP="00DE10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4929" w14:textId="77777777" w:rsidR="00DE10A3" w:rsidRDefault="00DE10A3" w:rsidP="00DE10A3">
      <w:r>
        <w:separator/>
      </w:r>
    </w:p>
  </w:footnote>
  <w:footnote w:type="continuationSeparator" w:id="0">
    <w:p w14:paraId="3086BCE9" w14:textId="77777777" w:rsidR="00DE10A3" w:rsidRDefault="00DE10A3" w:rsidP="00DE10A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I79LcJ5Occ4hc" int2:id="i5Anh1lD">
      <int2:state int2:value="Rejected" int2:type="AugLoop_Text_Critique"/>
    </int2:textHash>
    <int2:textHash int2:hashCode="eh/hxixKFkvYO7" int2:id="yzQbSczk">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F"/>
    <w:rsid w:val="00024D75"/>
    <w:rsid w:val="0002569C"/>
    <w:rsid w:val="000366F6"/>
    <w:rsid w:val="00076A05"/>
    <w:rsid w:val="00077D02"/>
    <w:rsid w:val="00092FAA"/>
    <w:rsid w:val="000B4E5F"/>
    <w:rsid w:val="000C1536"/>
    <w:rsid w:val="000C1EC0"/>
    <w:rsid w:val="000D210F"/>
    <w:rsid w:val="000E1B31"/>
    <w:rsid w:val="000F0D81"/>
    <w:rsid w:val="000F2737"/>
    <w:rsid w:val="001010C6"/>
    <w:rsid w:val="001062C1"/>
    <w:rsid w:val="00161A3E"/>
    <w:rsid w:val="0016631C"/>
    <w:rsid w:val="001728E7"/>
    <w:rsid w:val="001941DC"/>
    <w:rsid w:val="001B18F9"/>
    <w:rsid w:val="001D1D8F"/>
    <w:rsid w:val="001D6657"/>
    <w:rsid w:val="001E113E"/>
    <w:rsid w:val="001E326D"/>
    <w:rsid w:val="001E346A"/>
    <w:rsid w:val="001E4A9F"/>
    <w:rsid w:val="00202DD8"/>
    <w:rsid w:val="00223146"/>
    <w:rsid w:val="00223AD7"/>
    <w:rsid w:val="00233630"/>
    <w:rsid w:val="002400F4"/>
    <w:rsid w:val="00247802"/>
    <w:rsid w:val="00271851"/>
    <w:rsid w:val="00280082"/>
    <w:rsid w:val="00280B0E"/>
    <w:rsid w:val="0028175E"/>
    <w:rsid w:val="002840C9"/>
    <w:rsid w:val="002A2849"/>
    <w:rsid w:val="002A2F37"/>
    <w:rsid w:val="002A369E"/>
    <w:rsid w:val="002F418F"/>
    <w:rsid w:val="0030203C"/>
    <w:rsid w:val="00331C9C"/>
    <w:rsid w:val="00336AC8"/>
    <w:rsid w:val="0034249B"/>
    <w:rsid w:val="00345F6C"/>
    <w:rsid w:val="00349822"/>
    <w:rsid w:val="003677DF"/>
    <w:rsid w:val="00367B94"/>
    <w:rsid w:val="00377E89"/>
    <w:rsid w:val="00384C7B"/>
    <w:rsid w:val="003A38B0"/>
    <w:rsid w:val="003A3F30"/>
    <w:rsid w:val="003A67F4"/>
    <w:rsid w:val="003A7897"/>
    <w:rsid w:val="003B153D"/>
    <w:rsid w:val="003C2B78"/>
    <w:rsid w:val="003E064A"/>
    <w:rsid w:val="0041247C"/>
    <w:rsid w:val="00420CCD"/>
    <w:rsid w:val="00426B47"/>
    <w:rsid w:val="0043238B"/>
    <w:rsid w:val="00443DBC"/>
    <w:rsid w:val="0044623B"/>
    <w:rsid w:val="00471B8F"/>
    <w:rsid w:val="00475DF6"/>
    <w:rsid w:val="00486B2B"/>
    <w:rsid w:val="0049240C"/>
    <w:rsid w:val="004A14F2"/>
    <w:rsid w:val="004B2F81"/>
    <w:rsid w:val="004B3466"/>
    <w:rsid w:val="004C1386"/>
    <w:rsid w:val="004D0E3E"/>
    <w:rsid w:val="004D46A1"/>
    <w:rsid w:val="004E35A7"/>
    <w:rsid w:val="004E4924"/>
    <w:rsid w:val="004E7673"/>
    <w:rsid w:val="00506C49"/>
    <w:rsid w:val="00570A6A"/>
    <w:rsid w:val="005758C3"/>
    <w:rsid w:val="00592712"/>
    <w:rsid w:val="00592D4B"/>
    <w:rsid w:val="005944B2"/>
    <w:rsid w:val="005B12B4"/>
    <w:rsid w:val="005C3F20"/>
    <w:rsid w:val="005C51A7"/>
    <w:rsid w:val="005C7843"/>
    <w:rsid w:val="005D3EE8"/>
    <w:rsid w:val="005D49DF"/>
    <w:rsid w:val="005E7ACA"/>
    <w:rsid w:val="00627DB8"/>
    <w:rsid w:val="00634626"/>
    <w:rsid w:val="00634C1B"/>
    <w:rsid w:val="00661CF4"/>
    <w:rsid w:val="0067021C"/>
    <w:rsid w:val="00676562"/>
    <w:rsid w:val="00677E8B"/>
    <w:rsid w:val="006A29E4"/>
    <w:rsid w:val="006B3073"/>
    <w:rsid w:val="006B7FC3"/>
    <w:rsid w:val="006C32C0"/>
    <w:rsid w:val="006C6092"/>
    <w:rsid w:val="006D730D"/>
    <w:rsid w:val="007047E7"/>
    <w:rsid w:val="007131E2"/>
    <w:rsid w:val="007356EA"/>
    <w:rsid w:val="00754977"/>
    <w:rsid w:val="0078658C"/>
    <w:rsid w:val="00796501"/>
    <w:rsid w:val="00796580"/>
    <w:rsid w:val="00805E44"/>
    <w:rsid w:val="008311DF"/>
    <w:rsid w:val="00840152"/>
    <w:rsid w:val="00841503"/>
    <w:rsid w:val="0085633B"/>
    <w:rsid w:val="00864CFC"/>
    <w:rsid w:val="00870F85"/>
    <w:rsid w:val="00891BDD"/>
    <w:rsid w:val="00894B68"/>
    <w:rsid w:val="008B0E3D"/>
    <w:rsid w:val="008B4FB9"/>
    <w:rsid w:val="008C1E8F"/>
    <w:rsid w:val="008C27EC"/>
    <w:rsid w:val="008C40F7"/>
    <w:rsid w:val="008E0303"/>
    <w:rsid w:val="008E4F9C"/>
    <w:rsid w:val="008E65E5"/>
    <w:rsid w:val="008E7926"/>
    <w:rsid w:val="008E7D6B"/>
    <w:rsid w:val="008F2BA8"/>
    <w:rsid w:val="008F2CE3"/>
    <w:rsid w:val="00904BE4"/>
    <w:rsid w:val="0091583F"/>
    <w:rsid w:val="00930543"/>
    <w:rsid w:val="0093409C"/>
    <w:rsid w:val="00934CDC"/>
    <w:rsid w:val="00945D85"/>
    <w:rsid w:val="00950FB2"/>
    <w:rsid w:val="00956E0F"/>
    <w:rsid w:val="00992CAF"/>
    <w:rsid w:val="009E1A9C"/>
    <w:rsid w:val="009E3B8A"/>
    <w:rsid w:val="00A032AD"/>
    <w:rsid w:val="00A37736"/>
    <w:rsid w:val="00A5086A"/>
    <w:rsid w:val="00A603FD"/>
    <w:rsid w:val="00A61DE6"/>
    <w:rsid w:val="00A7152F"/>
    <w:rsid w:val="00A92B2D"/>
    <w:rsid w:val="00AA21D8"/>
    <w:rsid w:val="00AB554C"/>
    <w:rsid w:val="00AE0742"/>
    <w:rsid w:val="00AE5818"/>
    <w:rsid w:val="00B03B4B"/>
    <w:rsid w:val="00B24464"/>
    <w:rsid w:val="00B301AA"/>
    <w:rsid w:val="00B34AD6"/>
    <w:rsid w:val="00B51FC6"/>
    <w:rsid w:val="00B8132B"/>
    <w:rsid w:val="00B83721"/>
    <w:rsid w:val="00B83852"/>
    <w:rsid w:val="00B84D6E"/>
    <w:rsid w:val="00B9100C"/>
    <w:rsid w:val="00BC32CA"/>
    <w:rsid w:val="00BC3E64"/>
    <w:rsid w:val="00BC6053"/>
    <w:rsid w:val="00BE1400"/>
    <w:rsid w:val="00BF4900"/>
    <w:rsid w:val="00BF7F94"/>
    <w:rsid w:val="00C11AE5"/>
    <w:rsid w:val="00C11AED"/>
    <w:rsid w:val="00C149D0"/>
    <w:rsid w:val="00C33633"/>
    <w:rsid w:val="00C4126B"/>
    <w:rsid w:val="00C4713D"/>
    <w:rsid w:val="00C54FA7"/>
    <w:rsid w:val="00C7660E"/>
    <w:rsid w:val="00CA2E10"/>
    <w:rsid w:val="00CA4721"/>
    <w:rsid w:val="00CB46AA"/>
    <w:rsid w:val="00CC09C2"/>
    <w:rsid w:val="00CC240A"/>
    <w:rsid w:val="00CD220C"/>
    <w:rsid w:val="00CE5919"/>
    <w:rsid w:val="00D01382"/>
    <w:rsid w:val="00D0564B"/>
    <w:rsid w:val="00D143D2"/>
    <w:rsid w:val="00D4332F"/>
    <w:rsid w:val="00D60278"/>
    <w:rsid w:val="00D74096"/>
    <w:rsid w:val="00D969F5"/>
    <w:rsid w:val="00DB3F4F"/>
    <w:rsid w:val="00DD7F3F"/>
    <w:rsid w:val="00DE10A3"/>
    <w:rsid w:val="00DE503A"/>
    <w:rsid w:val="00DE6CCB"/>
    <w:rsid w:val="00E01CF3"/>
    <w:rsid w:val="00E039EC"/>
    <w:rsid w:val="00E20782"/>
    <w:rsid w:val="00E3516C"/>
    <w:rsid w:val="00E40050"/>
    <w:rsid w:val="00E427D2"/>
    <w:rsid w:val="00E4590F"/>
    <w:rsid w:val="00E46849"/>
    <w:rsid w:val="00E62281"/>
    <w:rsid w:val="00E62C85"/>
    <w:rsid w:val="00E93206"/>
    <w:rsid w:val="00E934C7"/>
    <w:rsid w:val="00EA7577"/>
    <w:rsid w:val="00EB1EAA"/>
    <w:rsid w:val="00ED36E4"/>
    <w:rsid w:val="00EF6606"/>
    <w:rsid w:val="00F0455F"/>
    <w:rsid w:val="00F05AA5"/>
    <w:rsid w:val="00F33A6D"/>
    <w:rsid w:val="00F849ED"/>
    <w:rsid w:val="00F940CA"/>
    <w:rsid w:val="00FD2652"/>
    <w:rsid w:val="00FD50BC"/>
    <w:rsid w:val="00FD5FFE"/>
    <w:rsid w:val="00FF01B5"/>
    <w:rsid w:val="00FF6C08"/>
    <w:rsid w:val="055C0564"/>
    <w:rsid w:val="05B1C308"/>
    <w:rsid w:val="06FEF807"/>
    <w:rsid w:val="073B43B5"/>
    <w:rsid w:val="0A2E8500"/>
    <w:rsid w:val="0A6E26EB"/>
    <w:rsid w:val="0C4621D3"/>
    <w:rsid w:val="104108F9"/>
    <w:rsid w:val="1251B790"/>
    <w:rsid w:val="132D8116"/>
    <w:rsid w:val="13497597"/>
    <w:rsid w:val="137B2ED9"/>
    <w:rsid w:val="1615ADAD"/>
    <w:rsid w:val="186CF25D"/>
    <w:rsid w:val="18942BAE"/>
    <w:rsid w:val="18B00C2E"/>
    <w:rsid w:val="193F860C"/>
    <w:rsid w:val="1ACE266E"/>
    <w:rsid w:val="1AE2930B"/>
    <w:rsid w:val="1BD1FE9D"/>
    <w:rsid w:val="1EB26825"/>
    <w:rsid w:val="1FF1DFA2"/>
    <w:rsid w:val="20BBCC41"/>
    <w:rsid w:val="2195172F"/>
    <w:rsid w:val="226C317B"/>
    <w:rsid w:val="244C11D9"/>
    <w:rsid w:val="24721EEF"/>
    <w:rsid w:val="2565AF11"/>
    <w:rsid w:val="27F8C3A2"/>
    <w:rsid w:val="29FDD1A0"/>
    <w:rsid w:val="2C84DFF6"/>
    <w:rsid w:val="2CB2E6C4"/>
    <w:rsid w:val="2D94EBBF"/>
    <w:rsid w:val="2F489409"/>
    <w:rsid w:val="311D72BF"/>
    <w:rsid w:val="31854E9B"/>
    <w:rsid w:val="31D41892"/>
    <w:rsid w:val="31D6424D"/>
    <w:rsid w:val="3268D2D6"/>
    <w:rsid w:val="32954B06"/>
    <w:rsid w:val="3355728C"/>
    <w:rsid w:val="34040BBF"/>
    <w:rsid w:val="34D0983E"/>
    <w:rsid w:val="357A8806"/>
    <w:rsid w:val="367F971D"/>
    <w:rsid w:val="369B8B9E"/>
    <w:rsid w:val="3813ACC9"/>
    <w:rsid w:val="38308F3A"/>
    <w:rsid w:val="38D1ED3C"/>
    <w:rsid w:val="3AEE5D2F"/>
    <w:rsid w:val="3BBF0864"/>
    <w:rsid w:val="3C4DDD23"/>
    <w:rsid w:val="3C827E6E"/>
    <w:rsid w:val="3CB15F3D"/>
    <w:rsid w:val="3F75400C"/>
    <w:rsid w:val="407BD7C1"/>
    <w:rsid w:val="4155E4F9"/>
    <w:rsid w:val="42340B64"/>
    <w:rsid w:val="4290FBC0"/>
    <w:rsid w:val="43892A01"/>
    <w:rsid w:val="44C43630"/>
    <w:rsid w:val="44F19859"/>
    <w:rsid w:val="4578A084"/>
    <w:rsid w:val="4620901E"/>
    <w:rsid w:val="4631DA1F"/>
    <w:rsid w:val="4648C20E"/>
    <w:rsid w:val="46AB23A3"/>
    <w:rsid w:val="46F67F19"/>
    <w:rsid w:val="474B7757"/>
    <w:rsid w:val="4786FBE2"/>
    <w:rsid w:val="4A915E93"/>
    <w:rsid w:val="4AE827D1"/>
    <w:rsid w:val="4B28C5AD"/>
    <w:rsid w:val="4D052770"/>
    <w:rsid w:val="4D186CE9"/>
    <w:rsid w:val="4DD873C4"/>
    <w:rsid w:val="4E6132B2"/>
    <w:rsid w:val="4F8257CE"/>
    <w:rsid w:val="4FD6F5FD"/>
    <w:rsid w:val="51927A80"/>
    <w:rsid w:val="554964A6"/>
    <w:rsid w:val="565D34CF"/>
    <w:rsid w:val="5B004E71"/>
    <w:rsid w:val="5BA03C83"/>
    <w:rsid w:val="5FE799BB"/>
    <w:rsid w:val="60311497"/>
    <w:rsid w:val="60503141"/>
    <w:rsid w:val="61D2D945"/>
    <w:rsid w:val="6538A0B7"/>
    <w:rsid w:val="65E210A9"/>
    <w:rsid w:val="663B7934"/>
    <w:rsid w:val="667FA5DA"/>
    <w:rsid w:val="67A0415B"/>
    <w:rsid w:val="67AF4270"/>
    <w:rsid w:val="6947B00B"/>
    <w:rsid w:val="6983F026"/>
    <w:rsid w:val="6A489520"/>
    <w:rsid w:val="6C0D8F2D"/>
    <w:rsid w:val="6C21FBCA"/>
    <w:rsid w:val="6C47A439"/>
    <w:rsid w:val="6CF79FD1"/>
    <w:rsid w:val="6EFFA188"/>
    <w:rsid w:val="6FB8BD54"/>
    <w:rsid w:val="718B96C3"/>
    <w:rsid w:val="747E2AA1"/>
    <w:rsid w:val="750A0625"/>
    <w:rsid w:val="75B99B77"/>
    <w:rsid w:val="77A21D7C"/>
    <w:rsid w:val="7978CC37"/>
    <w:rsid w:val="79B57C8C"/>
    <w:rsid w:val="7B3CD8DF"/>
    <w:rsid w:val="7D870C7B"/>
    <w:rsid w:val="7D968103"/>
    <w:rsid w:val="7E4B740C"/>
    <w:rsid w:val="7EA18258"/>
    <w:rsid w:val="7EE65F5F"/>
    <w:rsid w:val="7F196752"/>
    <w:rsid w:val="7F69E80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546"/>
  <w15:chartTrackingRefBased/>
  <w15:docId w15:val="{3BB74243-E1E4-834D-A53E-11975322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11D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47802"/>
    <w:rPr>
      <w:color w:val="0563C1" w:themeColor="hyperlink"/>
      <w:u w:val="single"/>
    </w:rPr>
  </w:style>
  <w:style w:type="character" w:styleId="FollowedHyperlink">
    <w:name w:val="FollowedHyperlink"/>
    <w:basedOn w:val="DefaultParagraphFont"/>
    <w:uiPriority w:val="99"/>
    <w:semiHidden/>
    <w:unhideWhenUsed/>
    <w:rsid w:val="0041247C"/>
    <w:rPr>
      <w:color w:val="954F72" w:themeColor="followedHyperlink"/>
      <w:u w:val="single"/>
    </w:rPr>
  </w:style>
  <w:style w:type="character" w:styleId="UnresolvedMention">
    <w:name w:val="Unresolved Mention"/>
    <w:basedOn w:val="DefaultParagraphFont"/>
    <w:uiPriority w:val="99"/>
    <w:semiHidden/>
    <w:unhideWhenUsed/>
    <w:rsid w:val="002F418F"/>
    <w:rPr>
      <w:color w:val="605E5C"/>
      <w:shd w:val="clear" w:color="auto" w:fill="E1DFDD"/>
    </w:rPr>
  </w:style>
  <w:style w:type="paragraph" w:styleId="Footer">
    <w:name w:val="footer"/>
    <w:basedOn w:val="Normal"/>
    <w:link w:val="FooterChar"/>
    <w:uiPriority w:val="99"/>
    <w:unhideWhenUsed/>
    <w:rsid w:val="00DE10A3"/>
    <w:pPr>
      <w:tabs>
        <w:tab w:val="center" w:pos="4680"/>
        <w:tab w:val="right" w:pos="9360"/>
      </w:tabs>
    </w:pPr>
  </w:style>
  <w:style w:type="character" w:customStyle="1" w:styleId="FooterChar">
    <w:name w:val="Footer Char"/>
    <w:basedOn w:val="DefaultParagraphFont"/>
    <w:link w:val="Footer"/>
    <w:uiPriority w:val="99"/>
    <w:rsid w:val="00DE10A3"/>
  </w:style>
  <w:style w:type="character" w:styleId="PageNumber">
    <w:name w:val="page number"/>
    <w:basedOn w:val="DefaultParagraphFont"/>
    <w:uiPriority w:val="99"/>
    <w:semiHidden/>
    <w:unhideWhenUsed/>
    <w:rsid w:val="00DE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39589">
      <w:bodyDiv w:val="1"/>
      <w:marLeft w:val="0"/>
      <w:marRight w:val="0"/>
      <w:marTop w:val="0"/>
      <w:marBottom w:val="0"/>
      <w:divBdr>
        <w:top w:val="none" w:sz="0" w:space="0" w:color="auto"/>
        <w:left w:val="none" w:sz="0" w:space="0" w:color="auto"/>
        <w:bottom w:val="none" w:sz="0" w:space="0" w:color="auto"/>
        <w:right w:val="none" w:sz="0" w:space="0" w:color="auto"/>
      </w:divBdr>
    </w:div>
    <w:div w:id="1238662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7422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FEAD-6612-5441-8993-B4C2FB22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Links>
    <vt:vector size="6" baseType="variant">
      <vt:variant>
        <vt:i4>1376324</vt:i4>
      </vt:variant>
      <vt:variant>
        <vt:i4>0</vt:i4>
      </vt:variant>
      <vt:variant>
        <vt:i4>0</vt:i4>
      </vt:variant>
      <vt:variant>
        <vt:i4>5</vt:i4>
      </vt:variant>
      <vt:variant>
        <vt:lpwstr>https://www.ncbi.nlm.nih.gov/pmc/articles/PMC7422602/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Walbauer (DH Oct 23)</dc:creator>
  <cp:keywords/>
  <dc:description/>
  <cp:lastModifiedBy>Megan Walbauer (DH Oct 23)</cp:lastModifiedBy>
  <cp:revision>2</cp:revision>
  <dcterms:created xsi:type="dcterms:W3CDTF">2024-02-14T21:08:00Z</dcterms:created>
  <dcterms:modified xsi:type="dcterms:W3CDTF">2024-02-14T21:08:00Z</dcterms:modified>
</cp:coreProperties>
</file>