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F634CD" w14:paraId="05A89BF1" w14:textId="77777777" w:rsidTr="00F57209">
        <w:trPr>
          <w:trHeight w:val="397"/>
        </w:trPr>
        <w:tc>
          <w:tcPr>
            <w:tcW w:w="992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E0EB1E" w14:textId="4156A641" w:rsidR="00F634CD" w:rsidRDefault="00F634CD" w:rsidP="00F63FE4">
            <w:pPr>
              <w:spacing w:line="259" w:lineRule="auto"/>
              <w:rPr>
                <w:rFonts w:eastAsia="Calibri"/>
                <w:b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Name:</w:t>
            </w:r>
            <w:r>
              <w:rPr>
                <w:rFonts w:eastAsia="Calibri"/>
                <w:bCs/>
                <w:sz w:val="22"/>
                <w:szCs w:val="22"/>
              </w:rPr>
              <w:t xml:space="preserve">  </w:t>
            </w:r>
            <w:r w:rsidR="00817155" w:rsidRPr="00817155">
              <w:rPr>
                <w:rFonts w:eastAsia="Calibri"/>
                <w:b/>
                <w:sz w:val="22"/>
                <w:szCs w:val="22"/>
              </w:rPr>
              <w:t>Megan Walbauer</w:t>
            </w:r>
          </w:p>
        </w:tc>
      </w:tr>
      <w:tr w:rsidR="00F634CD" w14:paraId="12D6CFFB" w14:textId="77777777" w:rsidTr="00F63FE4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66705B" w14:textId="6CDA7EBB" w:rsidR="00F634CD" w:rsidRPr="00BF6B98" w:rsidRDefault="00F634CD" w:rsidP="00F63FE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Level:</w:t>
            </w:r>
            <w:r w:rsidR="00817155">
              <w:rPr>
                <w:rFonts w:eastAsia="Calibri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F10197" w14:textId="3AF4CA1F" w:rsidR="00F634CD" w:rsidRDefault="00F634CD" w:rsidP="00F63FE4">
            <w:pPr>
              <w:spacing w:line="259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Date:</w:t>
            </w:r>
            <w:r w:rsidR="00817155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F011F">
              <w:rPr>
                <w:rFonts w:eastAsia="Calibri"/>
                <w:b/>
                <w:sz w:val="22"/>
                <w:szCs w:val="22"/>
              </w:rPr>
              <w:t>November 8, 2024</w:t>
            </w:r>
            <w:r w:rsidR="006B0634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B6699" w:rsidRPr="00567793" w14:paraId="47333F11" w14:textId="77777777" w:rsidTr="00F6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0732F50" w14:textId="07DCD8BF" w:rsidR="00AB6699" w:rsidRPr="00BF6B98" w:rsidRDefault="00AB6699" w:rsidP="00F63FE4">
            <w:pPr>
              <w:rPr>
                <w:rFonts w:eastAsia="Calibri"/>
                <w:bCs/>
                <w:sz w:val="22"/>
                <w:szCs w:val="22"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Journal Number:</w:t>
            </w:r>
            <w:r w:rsidR="00817155">
              <w:rPr>
                <w:rFonts w:eastAsia="Calibri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DEAE3D5" w14:textId="02F84772" w:rsidR="00AB6699" w:rsidRPr="00567793" w:rsidRDefault="00AB6699" w:rsidP="00F63FE4">
            <w:pPr>
              <w:rPr>
                <w:rFonts w:eastAsia="Calibri"/>
                <w:bCs/>
                <w:sz w:val="22"/>
                <w:szCs w:val="22"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Competency:</w:t>
            </w:r>
            <w:r w:rsidR="00817155">
              <w:rPr>
                <w:rFonts w:eastAsia="Calibri"/>
                <w:b/>
                <w:sz w:val="22"/>
                <w:szCs w:val="22"/>
              </w:rPr>
              <w:t xml:space="preserve"> Professional</w:t>
            </w:r>
          </w:p>
        </w:tc>
      </w:tr>
    </w:tbl>
    <w:p w14:paraId="705290B9" w14:textId="77777777" w:rsidR="00DA546D" w:rsidRPr="00DB4FFC" w:rsidRDefault="00DA546D" w:rsidP="00DB4FFC">
      <w:pPr>
        <w:pBdr>
          <w:bottom w:val="single" w:sz="6" w:space="1" w:color="auto"/>
        </w:pBdr>
        <w:spacing w:line="480" w:lineRule="auto"/>
        <w:rPr>
          <w:sz w:val="24"/>
          <w:szCs w:val="24"/>
        </w:rPr>
      </w:pPr>
      <w:r w:rsidRPr="00DB4FFC">
        <w:rPr>
          <w:sz w:val="24"/>
          <w:szCs w:val="24"/>
        </w:rPr>
        <w:t xml:space="preserve"> </w:t>
      </w:r>
    </w:p>
    <w:p w14:paraId="0DB49083" w14:textId="77777777" w:rsidR="00C730E2" w:rsidRDefault="00C730E2" w:rsidP="00C7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19"/>
          <w:szCs w:val="19"/>
          <w:lang w:val="en-US"/>
          <w14:ligatures w14:val="standardContextual"/>
        </w:rPr>
      </w:pPr>
    </w:p>
    <w:p w14:paraId="36C46872" w14:textId="78092312" w:rsidR="00C730E2" w:rsidRPr="00475A31" w:rsidRDefault="00C730E2" w:rsidP="00C7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val="en-US"/>
          <w14:ligatures w14:val="standardContextual"/>
        </w:rPr>
      </w:pPr>
      <w:r w:rsidRPr="00475A31">
        <w:rPr>
          <w:rFonts w:eastAsiaTheme="minorHAnsi"/>
          <w:b/>
          <w:bCs/>
          <w:color w:val="000000"/>
          <w:sz w:val="24"/>
          <w:szCs w:val="24"/>
          <w:lang w:val="en-US"/>
          <w14:ligatures w14:val="standardContextual"/>
        </w:rPr>
        <w:t>To prepare graduates that conduct themselves in a professional manner by acting ethically, self-assessing,</w:t>
      </w:r>
      <w:r w:rsidR="00EC0942" w:rsidRPr="00475A31">
        <w:rPr>
          <w:rFonts w:eastAsiaTheme="minorHAnsi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475A31">
        <w:rPr>
          <w:rFonts w:eastAsiaTheme="minorHAnsi"/>
          <w:b/>
          <w:bCs/>
          <w:color w:val="000000"/>
          <w:sz w:val="24"/>
          <w:szCs w:val="24"/>
          <w:lang w:val="en-US"/>
          <w14:ligatures w14:val="standardContextual"/>
        </w:rPr>
        <w:t>following codes of conduct and standards of practice with integrity.</w:t>
      </w:r>
    </w:p>
    <w:p w14:paraId="1768D33B" w14:textId="77777777" w:rsidR="00C730E2" w:rsidRPr="00475A31" w:rsidRDefault="00C730E2" w:rsidP="00C7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val="en-US"/>
          <w14:ligatures w14:val="standardContextual"/>
        </w:rPr>
      </w:pPr>
    </w:p>
    <w:p w14:paraId="29885E61" w14:textId="15F0822B" w:rsidR="00C730E2" w:rsidRPr="00475A31" w:rsidRDefault="00C730E2" w:rsidP="00C7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en-US"/>
          <w14:ligatures w14:val="standardContextual"/>
        </w:rPr>
      </w:pPr>
      <w:r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>• Review the responsibilities of the dental hygienist for reporting abuse under the Regulated Health Professions Act,</w:t>
      </w:r>
      <w:r w:rsidR="00EC0942"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>as outlined in the CDHO Registrant’s Handbook and Professional Issues II (DH 202). Read the articles “Oral health</w:t>
      </w:r>
      <w:r w:rsidR="00EC0942"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>professional alert: Elder abuse concern in the United States and Canada” and “Initiating discourse on recognizing</w:t>
      </w:r>
      <w:r w:rsidR="00EC0942"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>and reporting child abuse”. Based on these articles, reflect on the following:</w:t>
      </w:r>
    </w:p>
    <w:p w14:paraId="128C3A27" w14:textId="77777777" w:rsidR="00EC0942" w:rsidRPr="00475A31" w:rsidRDefault="00EC0942" w:rsidP="00C7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en-US"/>
          <w14:ligatures w14:val="standardContextual"/>
        </w:rPr>
      </w:pPr>
    </w:p>
    <w:p w14:paraId="6F997F39" w14:textId="77777777" w:rsidR="00C730E2" w:rsidRPr="00475A31" w:rsidRDefault="00C730E2" w:rsidP="00C7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en-US"/>
          <w14:ligatures w14:val="standardContextual"/>
        </w:rPr>
      </w:pPr>
      <w:r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>- Describe your responsibility and obligation when you suspect abuse in Ontario.</w:t>
      </w:r>
    </w:p>
    <w:p w14:paraId="6EB296F1" w14:textId="77777777" w:rsidR="00C730E2" w:rsidRPr="00475A31" w:rsidRDefault="00C730E2" w:rsidP="00C7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en-US"/>
          <w14:ligatures w14:val="standardContextual"/>
        </w:rPr>
      </w:pPr>
      <w:r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>- Outline the consequences you could face if you neglected your duty.</w:t>
      </w:r>
    </w:p>
    <w:p w14:paraId="54558CEB" w14:textId="77777777" w:rsidR="00C730E2" w:rsidRPr="00475A31" w:rsidRDefault="00C730E2" w:rsidP="00C7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en-US"/>
          <w14:ligatures w14:val="standardContextual"/>
        </w:rPr>
      </w:pPr>
      <w:r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 xml:space="preserve">- Reflect your </w:t>
      </w:r>
      <w:proofErr w:type="gramStart"/>
      <w:r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>personal opinion</w:t>
      </w:r>
      <w:proofErr w:type="gramEnd"/>
      <w:r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 xml:space="preserve"> about this responsibility and possible consequence.</w:t>
      </w:r>
    </w:p>
    <w:p w14:paraId="710BE677" w14:textId="77777777" w:rsidR="00C730E2" w:rsidRPr="00475A31" w:rsidRDefault="00C730E2" w:rsidP="00C7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en-US"/>
          <w14:ligatures w14:val="standardContextual"/>
        </w:rPr>
      </w:pPr>
      <w:r w:rsidRPr="00475A31">
        <w:rPr>
          <w:rFonts w:eastAsiaTheme="minorHAnsi"/>
          <w:color w:val="000000"/>
          <w:sz w:val="24"/>
          <w:szCs w:val="24"/>
          <w:lang w:val="en-US"/>
          <w14:ligatures w14:val="standardContextual"/>
        </w:rPr>
        <w:t>- Describe how you would handle a situation in the CADH clinic should you suspect abuse.</w:t>
      </w:r>
    </w:p>
    <w:p w14:paraId="58231757" w14:textId="77777777" w:rsidR="00C730E2" w:rsidRDefault="00C730E2" w:rsidP="00C7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19"/>
          <w:szCs w:val="19"/>
          <w:lang w:val="en-US"/>
          <w14:ligatures w14:val="standardContextual"/>
        </w:rPr>
      </w:pPr>
    </w:p>
    <w:p w14:paraId="03F4EC40" w14:textId="77777777" w:rsidR="00C730E2" w:rsidRDefault="00C730E2" w:rsidP="00DB4FFC">
      <w:pPr>
        <w:spacing w:line="480" w:lineRule="auto"/>
        <w:rPr>
          <w:sz w:val="24"/>
          <w:szCs w:val="24"/>
        </w:rPr>
      </w:pPr>
    </w:p>
    <w:p w14:paraId="2C659DB0" w14:textId="77777777" w:rsidR="003559D7" w:rsidRDefault="003559D7" w:rsidP="00DB4FFC">
      <w:pPr>
        <w:spacing w:line="480" w:lineRule="auto"/>
        <w:rPr>
          <w:sz w:val="24"/>
          <w:szCs w:val="24"/>
        </w:rPr>
      </w:pPr>
    </w:p>
    <w:p w14:paraId="4A86CC86" w14:textId="77777777" w:rsidR="003559D7" w:rsidRDefault="003559D7" w:rsidP="00DB4FFC">
      <w:pPr>
        <w:spacing w:line="480" w:lineRule="auto"/>
        <w:rPr>
          <w:sz w:val="24"/>
          <w:szCs w:val="24"/>
        </w:rPr>
      </w:pPr>
    </w:p>
    <w:p w14:paraId="3B620124" w14:textId="37559DA5" w:rsidR="004E3B0E" w:rsidRDefault="004E3B0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CDFAC5" w14:textId="05155DDF" w:rsidR="00112A21" w:rsidRDefault="008F011F" w:rsidP="00707451">
      <w:pPr>
        <w:spacing w:after="20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Abuse </w:t>
      </w:r>
      <w:r w:rsidR="00667875">
        <w:rPr>
          <w:sz w:val="24"/>
          <w:szCs w:val="24"/>
        </w:rPr>
        <w:t xml:space="preserve">to my knowledge, </w:t>
      </w:r>
      <w:r>
        <w:rPr>
          <w:sz w:val="24"/>
          <w:szCs w:val="24"/>
        </w:rPr>
        <w:t>ha</w:t>
      </w:r>
      <w:r w:rsidR="00A44EEF">
        <w:rPr>
          <w:sz w:val="24"/>
          <w:szCs w:val="24"/>
        </w:rPr>
        <w:t xml:space="preserve">s always been prevalent and will likely always be evident </w:t>
      </w:r>
      <w:r w:rsidR="001E36F0">
        <w:rPr>
          <w:sz w:val="24"/>
          <w:szCs w:val="24"/>
        </w:rPr>
        <w:t>in some shape or form</w:t>
      </w:r>
      <w:r w:rsidR="00A44EEF">
        <w:rPr>
          <w:sz w:val="24"/>
          <w:szCs w:val="24"/>
        </w:rPr>
        <w:t xml:space="preserve"> throughout the lives of some </w:t>
      </w:r>
      <w:r w:rsidR="00DC36D7">
        <w:rPr>
          <w:sz w:val="24"/>
          <w:szCs w:val="24"/>
        </w:rPr>
        <w:t>people</w:t>
      </w:r>
      <w:r w:rsidR="007C388A">
        <w:rPr>
          <w:sz w:val="24"/>
          <w:szCs w:val="24"/>
        </w:rPr>
        <w:t>.</w:t>
      </w:r>
      <w:r w:rsidR="00F17BC2" w:rsidRPr="0029231E">
        <w:rPr>
          <w:sz w:val="24"/>
          <w:szCs w:val="24"/>
        </w:rPr>
        <w:t xml:space="preserve"> I feel it is the duty of health care professionals to stand as </w:t>
      </w:r>
      <w:r w:rsidR="00355FE8" w:rsidRPr="0029231E">
        <w:rPr>
          <w:sz w:val="24"/>
          <w:szCs w:val="24"/>
        </w:rPr>
        <w:t xml:space="preserve">advocates </w:t>
      </w:r>
      <w:r w:rsidR="00A44EEF">
        <w:rPr>
          <w:sz w:val="24"/>
          <w:szCs w:val="24"/>
        </w:rPr>
        <w:t>for</w:t>
      </w:r>
      <w:r w:rsidR="00355FE8" w:rsidRPr="0029231E">
        <w:rPr>
          <w:sz w:val="24"/>
          <w:szCs w:val="24"/>
        </w:rPr>
        <w:t xml:space="preserve"> our clients. </w:t>
      </w:r>
      <w:proofErr w:type="gramStart"/>
      <w:r w:rsidR="00872EF0">
        <w:rPr>
          <w:sz w:val="24"/>
          <w:szCs w:val="24"/>
        </w:rPr>
        <w:t>In today’s society</w:t>
      </w:r>
      <w:proofErr w:type="gramEnd"/>
      <w:r w:rsidR="00872EF0">
        <w:rPr>
          <w:sz w:val="24"/>
          <w:szCs w:val="24"/>
        </w:rPr>
        <w:t xml:space="preserve"> there is no social acceptance for abuse</w:t>
      </w:r>
      <w:r w:rsidR="009F099A">
        <w:rPr>
          <w:sz w:val="24"/>
          <w:szCs w:val="24"/>
        </w:rPr>
        <w:t xml:space="preserve">, and </w:t>
      </w:r>
      <w:r w:rsidR="003C1492">
        <w:rPr>
          <w:sz w:val="24"/>
          <w:szCs w:val="24"/>
        </w:rPr>
        <w:t>it’s</w:t>
      </w:r>
      <w:r w:rsidR="009F099A">
        <w:rPr>
          <w:sz w:val="24"/>
          <w:szCs w:val="24"/>
        </w:rPr>
        <w:t xml:space="preserve"> important for people to realize abuse is not just physical but can be psychological, </w:t>
      </w:r>
      <w:r w:rsidR="003C1492">
        <w:rPr>
          <w:sz w:val="24"/>
          <w:szCs w:val="24"/>
        </w:rPr>
        <w:t>and emotional as well.</w:t>
      </w:r>
      <w:r w:rsidR="00872EF0">
        <w:rPr>
          <w:sz w:val="24"/>
          <w:szCs w:val="24"/>
        </w:rPr>
        <w:t xml:space="preserve"> As</w:t>
      </w:r>
      <w:r w:rsidR="009333A7">
        <w:rPr>
          <w:sz w:val="24"/>
          <w:szCs w:val="24"/>
        </w:rPr>
        <w:t xml:space="preserve"> health care professionals, we must be able to </w:t>
      </w:r>
      <w:r w:rsidR="00A94010">
        <w:rPr>
          <w:sz w:val="24"/>
          <w:szCs w:val="24"/>
        </w:rPr>
        <w:t xml:space="preserve">pick up on subtle signs and symptoms of any type of abuse and be knowledgeable </w:t>
      </w:r>
      <w:r w:rsidR="00112A21">
        <w:rPr>
          <w:sz w:val="24"/>
          <w:szCs w:val="24"/>
        </w:rPr>
        <w:t>on the kind of intervention that is required.</w:t>
      </w:r>
    </w:p>
    <w:p w14:paraId="767712E3" w14:textId="301E882B" w:rsidR="00A43B88" w:rsidRPr="007A2D05" w:rsidRDefault="00A43B88" w:rsidP="00707451">
      <w:pPr>
        <w:spacing w:after="200" w:line="480" w:lineRule="auto"/>
        <w:rPr>
          <w:b/>
          <w:bCs/>
          <w:sz w:val="24"/>
          <w:szCs w:val="24"/>
        </w:rPr>
      </w:pPr>
      <w:r w:rsidRPr="007A2D05">
        <w:rPr>
          <w:b/>
          <w:bCs/>
          <w:sz w:val="24"/>
          <w:szCs w:val="24"/>
        </w:rPr>
        <w:t xml:space="preserve">Responsibility and </w:t>
      </w:r>
      <w:r w:rsidR="009167F5" w:rsidRPr="007A2D05">
        <w:rPr>
          <w:b/>
          <w:bCs/>
          <w:sz w:val="24"/>
          <w:szCs w:val="24"/>
        </w:rPr>
        <w:t>o</w:t>
      </w:r>
      <w:r w:rsidRPr="007A2D05">
        <w:rPr>
          <w:b/>
          <w:bCs/>
          <w:sz w:val="24"/>
          <w:szCs w:val="24"/>
        </w:rPr>
        <w:t>bligation</w:t>
      </w:r>
      <w:r w:rsidR="007A2D05" w:rsidRPr="007A2D05">
        <w:rPr>
          <w:b/>
          <w:bCs/>
          <w:sz w:val="24"/>
          <w:szCs w:val="24"/>
        </w:rPr>
        <w:t>.</w:t>
      </w:r>
    </w:p>
    <w:p w14:paraId="5A403EA4" w14:textId="0BD16E12" w:rsidR="009167F5" w:rsidRDefault="009102D2" w:rsidP="00707451">
      <w:pPr>
        <w:spacing w:after="200"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A511C">
        <w:rPr>
          <w:sz w:val="24"/>
          <w:szCs w:val="24"/>
        </w:rPr>
        <w:t>For a registered dental hygienist in Ontario</w:t>
      </w:r>
      <w:r w:rsidR="006E1E43">
        <w:rPr>
          <w:sz w:val="24"/>
          <w:szCs w:val="24"/>
        </w:rPr>
        <w:t>,</w:t>
      </w:r>
      <w:r w:rsidR="00BA511C">
        <w:rPr>
          <w:sz w:val="24"/>
          <w:szCs w:val="24"/>
        </w:rPr>
        <w:t xml:space="preserve"> the obligations and responsibility around abuse may slightly differ. </w:t>
      </w:r>
      <w:r w:rsidR="00756E88">
        <w:rPr>
          <w:sz w:val="24"/>
          <w:szCs w:val="24"/>
        </w:rPr>
        <w:t>Regarding</w:t>
      </w:r>
      <w:r w:rsidR="00B0583A">
        <w:rPr>
          <w:sz w:val="24"/>
          <w:szCs w:val="24"/>
        </w:rPr>
        <w:t xml:space="preserve"> child abuse</w:t>
      </w:r>
      <w:r w:rsidR="00545BFC">
        <w:rPr>
          <w:sz w:val="24"/>
          <w:szCs w:val="24"/>
        </w:rPr>
        <w:t>,</w:t>
      </w:r>
      <w:r w:rsidR="00977C16">
        <w:rPr>
          <w:sz w:val="24"/>
          <w:szCs w:val="24"/>
        </w:rPr>
        <w:t xml:space="preserve"> the </w:t>
      </w:r>
      <w:r w:rsidR="00CA3D22">
        <w:rPr>
          <w:sz w:val="24"/>
          <w:szCs w:val="24"/>
        </w:rPr>
        <w:t>circumstance is reported</w:t>
      </w:r>
      <w:r w:rsidR="00977C16">
        <w:rPr>
          <w:sz w:val="24"/>
          <w:szCs w:val="24"/>
        </w:rPr>
        <w:t xml:space="preserve"> under the </w:t>
      </w:r>
      <w:r w:rsidR="00B109A5">
        <w:rPr>
          <w:sz w:val="24"/>
          <w:szCs w:val="24"/>
        </w:rPr>
        <w:t xml:space="preserve">child, </w:t>
      </w:r>
      <w:r w:rsidR="008A0F4F">
        <w:rPr>
          <w:sz w:val="24"/>
          <w:szCs w:val="24"/>
        </w:rPr>
        <w:t>youth,</w:t>
      </w:r>
      <w:r w:rsidR="00B109A5">
        <w:rPr>
          <w:sz w:val="24"/>
          <w:szCs w:val="24"/>
        </w:rPr>
        <w:t xml:space="preserve"> and family services act 2017</w:t>
      </w:r>
      <w:r w:rsidR="00DF3125">
        <w:rPr>
          <w:sz w:val="24"/>
          <w:szCs w:val="24"/>
        </w:rPr>
        <w:t xml:space="preserve">, and the hygienist need only suspect that there is evidence of abuse to report </w:t>
      </w:r>
      <w:r w:rsidR="00FA513D">
        <w:rPr>
          <w:sz w:val="24"/>
          <w:szCs w:val="24"/>
        </w:rPr>
        <w:t>it (</w:t>
      </w:r>
      <w:r w:rsidR="00B109A5">
        <w:rPr>
          <w:sz w:val="24"/>
          <w:szCs w:val="24"/>
        </w:rPr>
        <w:t xml:space="preserve">CDHO 2020). </w:t>
      </w:r>
      <w:r w:rsidR="00FD5171">
        <w:rPr>
          <w:sz w:val="24"/>
          <w:szCs w:val="24"/>
        </w:rPr>
        <w:t xml:space="preserve">A good explanation of this </w:t>
      </w:r>
      <w:r w:rsidR="002F1DB4">
        <w:rPr>
          <w:sz w:val="24"/>
          <w:szCs w:val="24"/>
        </w:rPr>
        <w:t xml:space="preserve">outline that “Oral health </w:t>
      </w:r>
      <w:r w:rsidR="00FA513D">
        <w:rPr>
          <w:sz w:val="24"/>
          <w:szCs w:val="24"/>
        </w:rPr>
        <w:t>professionals</w:t>
      </w:r>
      <w:r w:rsidR="002F1DB4">
        <w:rPr>
          <w:sz w:val="24"/>
          <w:szCs w:val="24"/>
        </w:rPr>
        <w:t xml:space="preserve"> are not required to prove abuse or neglect, just to report suspected cases</w:t>
      </w:r>
      <w:r w:rsidR="00FA513D">
        <w:rPr>
          <w:sz w:val="24"/>
          <w:szCs w:val="24"/>
        </w:rPr>
        <w:t>” (</w:t>
      </w:r>
      <w:proofErr w:type="spellStart"/>
      <w:r w:rsidR="0032489C">
        <w:rPr>
          <w:sz w:val="24"/>
          <w:szCs w:val="24"/>
        </w:rPr>
        <w:t>DeMattei</w:t>
      </w:r>
      <w:proofErr w:type="spellEnd"/>
      <w:r w:rsidR="0032489C">
        <w:rPr>
          <w:sz w:val="24"/>
          <w:szCs w:val="24"/>
        </w:rPr>
        <w:t xml:space="preserve"> and Sherry</w:t>
      </w:r>
      <w:r w:rsidR="00FA513D">
        <w:rPr>
          <w:sz w:val="24"/>
          <w:szCs w:val="24"/>
        </w:rPr>
        <w:t xml:space="preserve"> </w:t>
      </w:r>
      <w:r w:rsidR="0032489C">
        <w:rPr>
          <w:sz w:val="24"/>
          <w:szCs w:val="24"/>
        </w:rPr>
        <w:t>2011, p.</w:t>
      </w:r>
      <w:r w:rsidR="00FA513D">
        <w:rPr>
          <w:sz w:val="24"/>
          <w:szCs w:val="24"/>
        </w:rPr>
        <w:t xml:space="preserve">253). </w:t>
      </w:r>
      <w:r w:rsidR="00756E88">
        <w:rPr>
          <w:sz w:val="24"/>
          <w:szCs w:val="24"/>
        </w:rPr>
        <w:t>Personally,</w:t>
      </w:r>
      <w:r w:rsidR="0061419E">
        <w:rPr>
          <w:sz w:val="24"/>
          <w:szCs w:val="24"/>
        </w:rPr>
        <w:t xml:space="preserve"> I feel that as a professional adult it </w:t>
      </w:r>
      <w:r w:rsidR="004762E5">
        <w:rPr>
          <w:sz w:val="24"/>
          <w:szCs w:val="24"/>
        </w:rPr>
        <w:t xml:space="preserve">would be no harm to report and </w:t>
      </w:r>
      <w:r w:rsidR="002E2AA2">
        <w:rPr>
          <w:sz w:val="24"/>
          <w:szCs w:val="24"/>
        </w:rPr>
        <w:t>have it</w:t>
      </w:r>
      <w:r w:rsidR="004762E5">
        <w:rPr>
          <w:sz w:val="24"/>
          <w:szCs w:val="24"/>
        </w:rPr>
        <w:t xml:space="preserve"> proven incorrect</w:t>
      </w:r>
      <w:r w:rsidR="00756E88">
        <w:rPr>
          <w:sz w:val="24"/>
          <w:szCs w:val="24"/>
        </w:rPr>
        <w:t xml:space="preserve">. </w:t>
      </w:r>
      <w:r w:rsidR="00532553">
        <w:rPr>
          <w:sz w:val="24"/>
          <w:szCs w:val="24"/>
        </w:rPr>
        <w:t>However,</w:t>
      </w:r>
      <w:r w:rsidR="004762E5">
        <w:rPr>
          <w:sz w:val="24"/>
          <w:szCs w:val="24"/>
        </w:rPr>
        <w:t xml:space="preserve"> if it wasn’t reported</w:t>
      </w:r>
      <w:r w:rsidR="00756E88">
        <w:rPr>
          <w:sz w:val="24"/>
          <w:szCs w:val="24"/>
        </w:rPr>
        <w:t xml:space="preserve"> and was in fact </w:t>
      </w:r>
      <w:proofErr w:type="spellStart"/>
      <w:r w:rsidR="00CB451E">
        <w:rPr>
          <w:sz w:val="24"/>
          <w:szCs w:val="24"/>
        </w:rPr>
        <w:t>occuring</w:t>
      </w:r>
      <w:proofErr w:type="spellEnd"/>
      <w:r w:rsidR="00756E88">
        <w:rPr>
          <w:sz w:val="24"/>
          <w:szCs w:val="24"/>
        </w:rPr>
        <w:t>,</w:t>
      </w:r>
      <w:r w:rsidR="004762E5">
        <w:rPr>
          <w:sz w:val="24"/>
          <w:szCs w:val="24"/>
        </w:rPr>
        <w:t xml:space="preserve"> </w:t>
      </w:r>
      <w:r w:rsidR="002E2AA2">
        <w:rPr>
          <w:sz w:val="24"/>
          <w:szCs w:val="24"/>
        </w:rPr>
        <w:t xml:space="preserve">I fear serious consequences could occur. </w:t>
      </w:r>
      <w:r w:rsidR="003C3BC2">
        <w:rPr>
          <w:sz w:val="24"/>
          <w:szCs w:val="24"/>
        </w:rPr>
        <w:t xml:space="preserve">The report must include several items including a summary of the concern, the details, </w:t>
      </w:r>
      <w:r w:rsidR="00713B76">
        <w:rPr>
          <w:sz w:val="24"/>
          <w:szCs w:val="24"/>
        </w:rPr>
        <w:t>any potential explanation, any action that has been taken</w:t>
      </w:r>
      <w:r w:rsidR="008A0F4F">
        <w:rPr>
          <w:sz w:val="24"/>
          <w:szCs w:val="24"/>
        </w:rPr>
        <w:t>,</w:t>
      </w:r>
      <w:r w:rsidR="00713B76">
        <w:rPr>
          <w:sz w:val="24"/>
          <w:szCs w:val="24"/>
        </w:rPr>
        <w:t xml:space="preserve"> and </w:t>
      </w:r>
      <w:r w:rsidR="00B9729C">
        <w:rPr>
          <w:sz w:val="24"/>
          <w:szCs w:val="24"/>
        </w:rPr>
        <w:t xml:space="preserve">after </w:t>
      </w:r>
      <w:r w:rsidR="00DB5845">
        <w:rPr>
          <w:sz w:val="24"/>
          <w:szCs w:val="24"/>
        </w:rPr>
        <w:t>these local authorities</w:t>
      </w:r>
      <w:r w:rsidR="00B9729C">
        <w:rPr>
          <w:sz w:val="24"/>
          <w:szCs w:val="24"/>
        </w:rPr>
        <w:t xml:space="preserve"> will investigate further and take over the </w:t>
      </w:r>
      <w:r w:rsidR="00532553">
        <w:rPr>
          <w:sz w:val="24"/>
          <w:szCs w:val="24"/>
        </w:rPr>
        <w:t>situation (CDHO</w:t>
      </w:r>
      <w:r w:rsidR="00A17BAA">
        <w:rPr>
          <w:sz w:val="24"/>
          <w:szCs w:val="24"/>
        </w:rPr>
        <w:t xml:space="preserve"> </w:t>
      </w:r>
      <w:r w:rsidR="00532553">
        <w:rPr>
          <w:sz w:val="24"/>
          <w:szCs w:val="24"/>
        </w:rPr>
        <w:t xml:space="preserve">2020). </w:t>
      </w:r>
      <w:r w:rsidR="007A2D05">
        <w:rPr>
          <w:sz w:val="24"/>
          <w:szCs w:val="24"/>
        </w:rPr>
        <w:t>T</w:t>
      </w:r>
      <w:r w:rsidR="00AE52E7">
        <w:rPr>
          <w:sz w:val="24"/>
          <w:szCs w:val="24"/>
        </w:rPr>
        <w:t xml:space="preserve">he federal government in </w:t>
      </w:r>
      <w:r w:rsidR="00BE33CA">
        <w:rPr>
          <w:sz w:val="24"/>
          <w:szCs w:val="24"/>
        </w:rPr>
        <w:t xml:space="preserve">each province </w:t>
      </w:r>
      <w:r w:rsidR="007A2D05">
        <w:rPr>
          <w:sz w:val="24"/>
          <w:szCs w:val="24"/>
        </w:rPr>
        <w:t xml:space="preserve">also </w:t>
      </w:r>
      <w:r w:rsidR="00FA0B0B">
        <w:rPr>
          <w:sz w:val="24"/>
          <w:szCs w:val="24"/>
        </w:rPr>
        <w:t>has a set of standards</w:t>
      </w:r>
      <w:r w:rsidR="00AE52E7">
        <w:rPr>
          <w:sz w:val="24"/>
          <w:szCs w:val="24"/>
        </w:rPr>
        <w:t xml:space="preserve"> that must be </w:t>
      </w:r>
      <w:r w:rsidR="00B83D22">
        <w:rPr>
          <w:sz w:val="24"/>
          <w:szCs w:val="24"/>
        </w:rPr>
        <w:t>followed (</w:t>
      </w:r>
      <w:proofErr w:type="spellStart"/>
      <w:r w:rsidR="00EB05AB">
        <w:rPr>
          <w:sz w:val="24"/>
          <w:szCs w:val="24"/>
        </w:rPr>
        <w:t>D</w:t>
      </w:r>
      <w:r w:rsidR="0032489C">
        <w:rPr>
          <w:sz w:val="24"/>
          <w:szCs w:val="24"/>
        </w:rPr>
        <w:t>eM</w:t>
      </w:r>
      <w:r w:rsidR="00EB05AB">
        <w:rPr>
          <w:sz w:val="24"/>
          <w:szCs w:val="24"/>
        </w:rPr>
        <w:t>att</w:t>
      </w:r>
      <w:r w:rsidR="0032489C">
        <w:rPr>
          <w:sz w:val="24"/>
          <w:szCs w:val="24"/>
        </w:rPr>
        <w:t>ei</w:t>
      </w:r>
      <w:proofErr w:type="spellEnd"/>
      <w:r w:rsidR="00EB05AB">
        <w:rPr>
          <w:sz w:val="24"/>
          <w:szCs w:val="24"/>
        </w:rPr>
        <w:t xml:space="preserve"> and </w:t>
      </w:r>
      <w:r w:rsidR="0032489C">
        <w:rPr>
          <w:sz w:val="24"/>
          <w:szCs w:val="24"/>
        </w:rPr>
        <w:t>S</w:t>
      </w:r>
      <w:r w:rsidR="00EB05AB">
        <w:rPr>
          <w:sz w:val="24"/>
          <w:szCs w:val="24"/>
        </w:rPr>
        <w:t>herry</w:t>
      </w:r>
      <w:r w:rsidR="0032489C">
        <w:rPr>
          <w:sz w:val="24"/>
          <w:szCs w:val="24"/>
        </w:rPr>
        <w:t xml:space="preserve"> 2011</w:t>
      </w:r>
      <w:r w:rsidR="00EB05AB">
        <w:rPr>
          <w:sz w:val="24"/>
          <w:szCs w:val="24"/>
        </w:rPr>
        <w:t xml:space="preserve">). </w:t>
      </w:r>
      <w:proofErr w:type="gramStart"/>
      <w:r w:rsidR="001A55EC">
        <w:rPr>
          <w:sz w:val="24"/>
          <w:szCs w:val="24"/>
        </w:rPr>
        <w:t>In regard to</w:t>
      </w:r>
      <w:proofErr w:type="gramEnd"/>
      <w:r w:rsidR="001A55EC">
        <w:rPr>
          <w:sz w:val="24"/>
          <w:szCs w:val="24"/>
        </w:rPr>
        <w:t xml:space="preserve"> adults and</w:t>
      </w:r>
      <w:r w:rsidR="00D53BF0">
        <w:rPr>
          <w:sz w:val="24"/>
          <w:szCs w:val="24"/>
        </w:rPr>
        <w:t xml:space="preserve"> abuse, </w:t>
      </w:r>
      <w:r w:rsidR="001A55EC">
        <w:rPr>
          <w:sz w:val="24"/>
          <w:szCs w:val="24"/>
        </w:rPr>
        <w:t>it is</w:t>
      </w:r>
      <w:r w:rsidR="00D53BF0">
        <w:rPr>
          <w:sz w:val="24"/>
          <w:szCs w:val="24"/>
        </w:rPr>
        <w:t xml:space="preserve"> outlined by the CDHO </w:t>
      </w:r>
      <w:r w:rsidR="001A55EC">
        <w:rPr>
          <w:sz w:val="24"/>
          <w:szCs w:val="24"/>
        </w:rPr>
        <w:t>the</w:t>
      </w:r>
      <w:r w:rsidR="00767641">
        <w:rPr>
          <w:sz w:val="24"/>
          <w:szCs w:val="24"/>
        </w:rPr>
        <w:t xml:space="preserve"> following. To </w:t>
      </w:r>
      <w:r w:rsidR="002A50EC">
        <w:rPr>
          <w:sz w:val="24"/>
          <w:szCs w:val="24"/>
        </w:rPr>
        <w:t xml:space="preserve">allow the client a safe space to express what may be going </w:t>
      </w:r>
      <w:r w:rsidR="00FB21AF">
        <w:rPr>
          <w:sz w:val="24"/>
          <w:szCs w:val="24"/>
        </w:rPr>
        <w:t>on and</w:t>
      </w:r>
      <w:r w:rsidR="002A50EC">
        <w:rPr>
          <w:sz w:val="24"/>
          <w:szCs w:val="24"/>
        </w:rPr>
        <w:t xml:space="preserve"> </w:t>
      </w:r>
      <w:r w:rsidR="00BD2D66">
        <w:rPr>
          <w:sz w:val="24"/>
          <w:szCs w:val="24"/>
        </w:rPr>
        <w:t>to</w:t>
      </w:r>
      <w:r w:rsidR="002A50EC">
        <w:rPr>
          <w:sz w:val="24"/>
          <w:szCs w:val="24"/>
        </w:rPr>
        <w:t xml:space="preserve"> discuss options with the client such as referrals to licenced </w:t>
      </w:r>
      <w:r w:rsidR="00767641">
        <w:rPr>
          <w:sz w:val="24"/>
          <w:szCs w:val="24"/>
        </w:rPr>
        <w:t xml:space="preserve">counselling professionals, </w:t>
      </w:r>
      <w:r w:rsidR="00EC3086">
        <w:rPr>
          <w:sz w:val="24"/>
          <w:szCs w:val="24"/>
        </w:rPr>
        <w:t xml:space="preserve">suggesting they seek </w:t>
      </w:r>
      <w:r w:rsidR="00DA0374">
        <w:rPr>
          <w:sz w:val="24"/>
          <w:szCs w:val="24"/>
        </w:rPr>
        <w:t xml:space="preserve">a </w:t>
      </w:r>
      <w:r w:rsidR="00EC3086">
        <w:rPr>
          <w:sz w:val="24"/>
          <w:szCs w:val="24"/>
        </w:rPr>
        <w:t xml:space="preserve">trustworthy </w:t>
      </w:r>
      <w:r w:rsidR="00DA0374">
        <w:rPr>
          <w:sz w:val="24"/>
          <w:szCs w:val="24"/>
        </w:rPr>
        <w:t xml:space="preserve">member of the </w:t>
      </w:r>
      <w:r w:rsidR="00EC3086">
        <w:rPr>
          <w:sz w:val="24"/>
          <w:szCs w:val="24"/>
        </w:rPr>
        <w:t>family or friends</w:t>
      </w:r>
      <w:r w:rsidR="001E27A5">
        <w:rPr>
          <w:sz w:val="24"/>
          <w:szCs w:val="24"/>
        </w:rPr>
        <w:t xml:space="preserve">, or to contact local </w:t>
      </w:r>
      <w:r w:rsidR="00362706">
        <w:rPr>
          <w:sz w:val="24"/>
          <w:szCs w:val="24"/>
        </w:rPr>
        <w:t>authorities (</w:t>
      </w:r>
      <w:r w:rsidR="001E27A5">
        <w:rPr>
          <w:sz w:val="24"/>
          <w:szCs w:val="24"/>
        </w:rPr>
        <w:t xml:space="preserve">CDHO 2020). </w:t>
      </w:r>
      <w:r w:rsidR="00362706">
        <w:rPr>
          <w:sz w:val="24"/>
          <w:szCs w:val="24"/>
        </w:rPr>
        <w:lastRenderedPageBreak/>
        <w:t xml:space="preserve">Based </w:t>
      </w:r>
      <w:r w:rsidR="00FB21AF">
        <w:rPr>
          <w:sz w:val="24"/>
          <w:szCs w:val="24"/>
        </w:rPr>
        <w:t>on</w:t>
      </w:r>
      <w:r w:rsidR="00362706">
        <w:rPr>
          <w:sz w:val="24"/>
          <w:szCs w:val="24"/>
        </w:rPr>
        <w:t xml:space="preserve"> this I feel that dental hygienist in this situation can </w:t>
      </w:r>
      <w:r w:rsidR="00DA0374">
        <w:rPr>
          <w:sz w:val="24"/>
          <w:szCs w:val="24"/>
        </w:rPr>
        <w:t>help and</w:t>
      </w:r>
      <w:r w:rsidR="00362706">
        <w:rPr>
          <w:sz w:val="24"/>
          <w:szCs w:val="24"/>
        </w:rPr>
        <w:t xml:space="preserve"> be of support to clients rather than taking a more leadership role like with children and seniors. </w:t>
      </w:r>
      <w:r w:rsidR="00726B26">
        <w:rPr>
          <w:sz w:val="24"/>
          <w:szCs w:val="24"/>
        </w:rPr>
        <w:t xml:space="preserve">For senior </w:t>
      </w:r>
      <w:r w:rsidR="007F3616">
        <w:rPr>
          <w:sz w:val="24"/>
          <w:szCs w:val="24"/>
        </w:rPr>
        <w:t>clients,</w:t>
      </w:r>
      <w:r w:rsidR="00726B26">
        <w:rPr>
          <w:sz w:val="24"/>
          <w:szCs w:val="24"/>
        </w:rPr>
        <w:t xml:space="preserve"> the role that </w:t>
      </w:r>
      <w:r w:rsidR="00FB21AF">
        <w:rPr>
          <w:sz w:val="24"/>
          <w:szCs w:val="24"/>
        </w:rPr>
        <w:t>hygienists</w:t>
      </w:r>
      <w:r w:rsidR="00726B26">
        <w:rPr>
          <w:sz w:val="24"/>
          <w:szCs w:val="24"/>
        </w:rPr>
        <w:t xml:space="preserve"> play is </w:t>
      </w:r>
      <w:r w:rsidR="00E3427B">
        <w:rPr>
          <w:sz w:val="24"/>
          <w:szCs w:val="24"/>
        </w:rPr>
        <w:t xml:space="preserve">to be aware </w:t>
      </w:r>
      <w:r w:rsidR="008F3D0D">
        <w:rPr>
          <w:sz w:val="24"/>
          <w:szCs w:val="24"/>
        </w:rPr>
        <w:t xml:space="preserve">and to report, this can also be done without </w:t>
      </w:r>
      <w:r w:rsidR="009E43C3">
        <w:rPr>
          <w:sz w:val="24"/>
          <w:szCs w:val="24"/>
        </w:rPr>
        <w:t>consent (</w:t>
      </w:r>
      <w:r w:rsidR="00D7730C">
        <w:rPr>
          <w:sz w:val="24"/>
          <w:szCs w:val="24"/>
        </w:rPr>
        <w:t xml:space="preserve">CDHO 2020). This is classified as the duty to </w:t>
      </w:r>
      <w:r w:rsidR="008067BA">
        <w:rPr>
          <w:sz w:val="24"/>
          <w:szCs w:val="24"/>
        </w:rPr>
        <w:t>warn (</w:t>
      </w:r>
      <w:r w:rsidR="00244CDD">
        <w:rPr>
          <w:sz w:val="24"/>
          <w:szCs w:val="24"/>
        </w:rPr>
        <w:t xml:space="preserve">CDHO 2020). A study done in 2011 showed that there is an increase in the world population of older adults </w:t>
      </w:r>
      <w:r w:rsidR="00A91EA7">
        <w:rPr>
          <w:sz w:val="24"/>
          <w:szCs w:val="24"/>
        </w:rPr>
        <w:t xml:space="preserve">and </w:t>
      </w:r>
      <w:r w:rsidR="004122CC">
        <w:rPr>
          <w:sz w:val="24"/>
          <w:szCs w:val="24"/>
        </w:rPr>
        <w:t xml:space="preserve">is expected to </w:t>
      </w:r>
      <w:r w:rsidR="00B35BAC">
        <w:rPr>
          <w:sz w:val="24"/>
          <w:szCs w:val="24"/>
        </w:rPr>
        <w:t>continue to rise</w:t>
      </w:r>
      <w:r w:rsidR="00752CAC">
        <w:rPr>
          <w:sz w:val="24"/>
          <w:szCs w:val="24"/>
        </w:rPr>
        <w:t xml:space="preserve"> (</w:t>
      </w:r>
      <w:r w:rsidR="004122CC">
        <w:rPr>
          <w:sz w:val="24"/>
          <w:szCs w:val="24"/>
        </w:rPr>
        <w:t xml:space="preserve">Furnari 2011). </w:t>
      </w:r>
      <w:r w:rsidR="005273F1">
        <w:rPr>
          <w:sz w:val="24"/>
          <w:szCs w:val="24"/>
        </w:rPr>
        <w:t>It</w:t>
      </w:r>
      <w:r w:rsidR="00507A09">
        <w:rPr>
          <w:sz w:val="24"/>
          <w:szCs w:val="24"/>
        </w:rPr>
        <w:t xml:space="preserve"> was also noted that </w:t>
      </w:r>
      <w:r w:rsidR="003D1FF9">
        <w:rPr>
          <w:sz w:val="24"/>
          <w:szCs w:val="24"/>
        </w:rPr>
        <w:t xml:space="preserve">this will also </w:t>
      </w:r>
      <w:r w:rsidR="005273F1">
        <w:rPr>
          <w:sz w:val="24"/>
          <w:szCs w:val="24"/>
        </w:rPr>
        <w:t xml:space="preserve">likely </w:t>
      </w:r>
      <w:r w:rsidR="003D1FF9">
        <w:rPr>
          <w:sz w:val="24"/>
          <w:szCs w:val="24"/>
        </w:rPr>
        <w:t xml:space="preserve">elevate the </w:t>
      </w:r>
      <w:r w:rsidR="00752CAC">
        <w:rPr>
          <w:sz w:val="24"/>
          <w:szCs w:val="24"/>
        </w:rPr>
        <w:t xml:space="preserve">number of </w:t>
      </w:r>
      <w:r w:rsidR="00B35BAC">
        <w:rPr>
          <w:sz w:val="24"/>
          <w:szCs w:val="24"/>
        </w:rPr>
        <w:t xml:space="preserve">senior </w:t>
      </w:r>
      <w:r w:rsidR="00752CAC">
        <w:rPr>
          <w:sz w:val="24"/>
          <w:szCs w:val="24"/>
        </w:rPr>
        <w:t>abuse cases (Furnari 2011).</w:t>
      </w:r>
      <w:r w:rsidR="003D1FF9">
        <w:rPr>
          <w:sz w:val="24"/>
          <w:szCs w:val="24"/>
        </w:rPr>
        <w:t xml:space="preserve"> </w:t>
      </w:r>
      <w:r w:rsidR="004122CC">
        <w:rPr>
          <w:sz w:val="24"/>
          <w:szCs w:val="24"/>
        </w:rPr>
        <w:t xml:space="preserve">Due to this </w:t>
      </w:r>
      <w:r w:rsidR="008249C6">
        <w:rPr>
          <w:sz w:val="24"/>
          <w:szCs w:val="24"/>
        </w:rPr>
        <w:t>it</w:t>
      </w:r>
      <w:r w:rsidR="004122CC">
        <w:rPr>
          <w:sz w:val="24"/>
          <w:szCs w:val="24"/>
        </w:rPr>
        <w:t xml:space="preserve"> is important that hygienist stay current on </w:t>
      </w:r>
      <w:r w:rsidR="008249C6">
        <w:rPr>
          <w:sz w:val="24"/>
          <w:szCs w:val="24"/>
        </w:rPr>
        <w:t xml:space="preserve">what abuse can look like, and to be attentive to our </w:t>
      </w:r>
      <w:r w:rsidR="00CC1BC1">
        <w:rPr>
          <w:sz w:val="24"/>
          <w:szCs w:val="24"/>
        </w:rPr>
        <w:t xml:space="preserve">clients', especially our more vulnerable populations for example children and seniors. </w:t>
      </w:r>
    </w:p>
    <w:p w14:paraId="117EE888" w14:textId="3D771F3A" w:rsidR="009167F5" w:rsidRPr="00B9024B" w:rsidRDefault="009167F5" w:rsidP="00707451">
      <w:pPr>
        <w:spacing w:after="200" w:line="480" w:lineRule="auto"/>
        <w:rPr>
          <w:b/>
          <w:bCs/>
          <w:sz w:val="24"/>
          <w:szCs w:val="24"/>
        </w:rPr>
      </w:pPr>
      <w:r w:rsidRPr="00B9024B">
        <w:rPr>
          <w:b/>
          <w:bCs/>
          <w:sz w:val="24"/>
          <w:szCs w:val="24"/>
        </w:rPr>
        <w:t>Consequences for neglecting duty.</w:t>
      </w:r>
    </w:p>
    <w:p w14:paraId="6D06CF6E" w14:textId="72B88133" w:rsidR="009167F5" w:rsidRDefault="009167F5" w:rsidP="00707451">
      <w:pPr>
        <w:spacing w:after="200"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66E7E">
        <w:rPr>
          <w:sz w:val="24"/>
          <w:szCs w:val="24"/>
        </w:rPr>
        <w:t>In th</w:t>
      </w:r>
      <w:r w:rsidR="00272FA8">
        <w:rPr>
          <w:sz w:val="24"/>
          <w:szCs w:val="24"/>
        </w:rPr>
        <w:t>e</w:t>
      </w:r>
      <w:r w:rsidR="00666E7E">
        <w:rPr>
          <w:sz w:val="24"/>
          <w:szCs w:val="24"/>
        </w:rPr>
        <w:t xml:space="preserve"> </w:t>
      </w:r>
      <w:r w:rsidR="0070439E">
        <w:rPr>
          <w:sz w:val="24"/>
          <w:szCs w:val="24"/>
        </w:rPr>
        <w:t>circumstance of neglecting to report abuse I believe it would fall under incompetence</w:t>
      </w:r>
      <w:r w:rsidR="00F43725">
        <w:rPr>
          <w:sz w:val="24"/>
          <w:szCs w:val="24"/>
        </w:rPr>
        <w:t xml:space="preserve">. </w:t>
      </w:r>
      <w:r w:rsidR="00B9024B">
        <w:rPr>
          <w:sz w:val="24"/>
          <w:szCs w:val="24"/>
        </w:rPr>
        <w:t>It’s</w:t>
      </w:r>
      <w:r w:rsidR="00F43725">
        <w:rPr>
          <w:sz w:val="24"/>
          <w:szCs w:val="24"/>
        </w:rPr>
        <w:t xml:space="preserve"> outlined by the regulated health professions act as </w:t>
      </w:r>
      <w:r w:rsidR="00EF18AE">
        <w:rPr>
          <w:sz w:val="24"/>
          <w:szCs w:val="24"/>
        </w:rPr>
        <w:t xml:space="preserve">“if the members professional care of a patient displayed a lack of knowledge, skill or judgement of a nature or to an extent that demonstrates that the member is </w:t>
      </w:r>
      <w:r w:rsidR="004006AE">
        <w:rPr>
          <w:sz w:val="24"/>
          <w:szCs w:val="24"/>
        </w:rPr>
        <w:t xml:space="preserve">unfit to continue to </w:t>
      </w:r>
      <w:r w:rsidR="009E43C3">
        <w:rPr>
          <w:sz w:val="24"/>
          <w:szCs w:val="24"/>
        </w:rPr>
        <w:t>practice” (</w:t>
      </w:r>
      <w:r w:rsidR="004006AE">
        <w:rPr>
          <w:sz w:val="24"/>
          <w:szCs w:val="24"/>
        </w:rPr>
        <w:t xml:space="preserve">RHPA </w:t>
      </w:r>
      <w:r w:rsidR="00B9498F">
        <w:rPr>
          <w:sz w:val="24"/>
          <w:szCs w:val="24"/>
        </w:rPr>
        <w:t xml:space="preserve">2024, </w:t>
      </w:r>
      <w:r w:rsidR="004006AE">
        <w:rPr>
          <w:sz w:val="24"/>
          <w:szCs w:val="24"/>
        </w:rPr>
        <w:t>no.52(1))</w:t>
      </w:r>
      <w:r w:rsidR="008A25AF">
        <w:rPr>
          <w:sz w:val="24"/>
          <w:szCs w:val="24"/>
        </w:rPr>
        <w:t>. Or professional misconduct</w:t>
      </w:r>
      <w:r w:rsidR="000D59DE">
        <w:rPr>
          <w:sz w:val="24"/>
          <w:szCs w:val="24"/>
        </w:rPr>
        <w:t xml:space="preserve"> </w:t>
      </w:r>
      <w:r w:rsidR="00994F53">
        <w:rPr>
          <w:sz w:val="24"/>
          <w:szCs w:val="24"/>
        </w:rPr>
        <w:t xml:space="preserve">which can be outlined as </w:t>
      </w:r>
      <w:r w:rsidR="0064300D">
        <w:rPr>
          <w:sz w:val="24"/>
          <w:szCs w:val="24"/>
        </w:rPr>
        <w:t>“the</w:t>
      </w:r>
      <w:r w:rsidR="00BC5835">
        <w:rPr>
          <w:sz w:val="24"/>
          <w:szCs w:val="24"/>
        </w:rPr>
        <w:t xml:space="preserve"> member has been found guilty of an offence that </w:t>
      </w:r>
      <w:r w:rsidR="0064300D">
        <w:rPr>
          <w:sz w:val="24"/>
          <w:szCs w:val="24"/>
        </w:rPr>
        <w:t>i</w:t>
      </w:r>
      <w:r w:rsidR="00BC5835">
        <w:rPr>
          <w:sz w:val="24"/>
          <w:szCs w:val="24"/>
        </w:rPr>
        <w:t xml:space="preserve">s relevant to the members suitability to </w:t>
      </w:r>
      <w:r w:rsidR="005626A8">
        <w:rPr>
          <w:sz w:val="24"/>
          <w:szCs w:val="24"/>
        </w:rPr>
        <w:t>practise” (</w:t>
      </w:r>
      <w:r w:rsidR="009E43C3">
        <w:rPr>
          <w:sz w:val="24"/>
          <w:szCs w:val="24"/>
        </w:rPr>
        <w:t xml:space="preserve">RHPA </w:t>
      </w:r>
      <w:r w:rsidR="00B9498F">
        <w:rPr>
          <w:sz w:val="24"/>
          <w:szCs w:val="24"/>
        </w:rPr>
        <w:t xml:space="preserve">2024, </w:t>
      </w:r>
      <w:r w:rsidR="009E43C3">
        <w:rPr>
          <w:sz w:val="24"/>
          <w:szCs w:val="24"/>
        </w:rPr>
        <w:t>no.51(1)).</w:t>
      </w:r>
      <w:r w:rsidR="004B4448">
        <w:rPr>
          <w:sz w:val="24"/>
          <w:szCs w:val="24"/>
        </w:rPr>
        <w:t xml:space="preserve"> </w:t>
      </w:r>
      <w:r w:rsidR="00C632C7">
        <w:rPr>
          <w:sz w:val="24"/>
          <w:szCs w:val="24"/>
        </w:rPr>
        <w:t xml:space="preserve">There are </w:t>
      </w:r>
      <w:r w:rsidR="00B9024B">
        <w:rPr>
          <w:sz w:val="24"/>
          <w:szCs w:val="24"/>
        </w:rPr>
        <w:t>several</w:t>
      </w:r>
      <w:r w:rsidR="00C632C7">
        <w:rPr>
          <w:sz w:val="24"/>
          <w:szCs w:val="24"/>
        </w:rPr>
        <w:t xml:space="preserve"> </w:t>
      </w:r>
      <w:r w:rsidR="005626A8">
        <w:rPr>
          <w:sz w:val="24"/>
          <w:szCs w:val="24"/>
        </w:rPr>
        <w:t>disciplinary</w:t>
      </w:r>
      <w:r w:rsidR="0016615F">
        <w:rPr>
          <w:sz w:val="24"/>
          <w:szCs w:val="24"/>
        </w:rPr>
        <w:t xml:space="preserve"> actions that can </w:t>
      </w:r>
      <w:r w:rsidR="005626A8">
        <w:rPr>
          <w:sz w:val="24"/>
          <w:szCs w:val="24"/>
        </w:rPr>
        <w:t>be</w:t>
      </w:r>
      <w:r w:rsidR="0016615F">
        <w:rPr>
          <w:sz w:val="24"/>
          <w:szCs w:val="24"/>
        </w:rPr>
        <w:t xml:space="preserve"> </w:t>
      </w:r>
      <w:r w:rsidR="005626A8">
        <w:rPr>
          <w:sz w:val="24"/>
          <w:szCs w:val="24"/>
        </w:rPr>
        <w:t>placed on a member holder</w:t>
      </w:r>
      <w:r w:rsidR="001663AC">
        <w:rPr>
          <w:sz w:val="24"/>
          <w:szCs w:val="24"/>
        </w:rPr>
        <w:t xml:space="preserve">, the severity of the consequence is based on the severity of the action (RHPA </w:t>
      </w:r>
      <w:r w:rsidR="00B9498F">
        <w:rPr>
          <w:sz w:val="24"/>
          <w:szCs w:val="24"/>
        </w:rPr>
        <w:t>2024</w:t>
      </w:r>
      <w:r w:rsidR="001663AC">
        <w:rPr>
          <w:sz w:val="24"/>
          <w:szCs w:val="24"/>
        </w:rPr>
        <w:t xml:space="preserve">). For </w:t>
      </w:r>
      <w:r w:rsidR="008B67BB">
        <w:rPr>
          <w:sz w:val="24"/>
          <w:szCs w:val="24"/>
        </w:rPr>
        <w:t>example,</w:t>
      </w:r>
      <w:r w:rsidR="001663AC">
        <w:rPr>
          <w:sz w:val="24"/>
          <w:szCs w:val="24"/>
        </w:rPr>
        <w:t xml:space="preserve"> </w:t>
      </w:r>
      <w:r w:rsidR="008B67BB">
        <w:rPr>
          <w:sz w:val="24"/>
          <w:szCs w:val="24"/>
        </w:rPr>
        <w:t>revocation</w:t>
      </w:r>
      <w:r w:rsidR="00A846B5">
        <w:rPr>
          <w:sz w:val="24"/>
          <w:szCs w:val="24"/>
        </w:rPr>
        <w:t xml:space="preserve"> of certification, suspension of membership for a set </w:t>
      </w:r>
      <w:r w:rsidR="00B9024B">
        <w:rPr>
          <w:sz w:val="24"/>
          <w:szCs w:val="24"/>
        </w:rPr>
        <w:t>time</w:t>
      </w:r>
      <w:r w:rsidR="00A846B5">
        <w:rPr>
          <w:sz w:val="24"/>
          <w:szCs w:val="24"/>
        </w:rPr>
        <w:t xml:space="preserve">, </w:t>
      </w:r>
      <w:r w:rsidR="00184CE5">
        <w:rPr>
          <w:sz w:val="24"/>
          <w:szCs w:val="24"/>
        </w:rPr>
        <w:t xml:space="preserve">limitations of certification, requirement to go </w:t>
      </w:r>
      <w:r w:rsidR="00B9024B">
        <w:rPr>
          <w:sz w:val="24"/>
          <w:szCs w:val="24"/>
        </w:rPr>
        <w:t>in front</w:t>
      </w:r>
      <w:r w:rsidR="00184CE5">
        <w:rPr>
          <w:sz w:val="24"/>
          <w:szCs w:val="24"/>
        </w:rPr>
        <w:t xml:space="preserve"> of a panel and be reprimanded</w:t>
      </w:r>
      <w:r w:rsidR="00B9024B">
        <w:rPr>
          <w:sz w:val="24"/>
          <w:szCs w:val="24"/>
        </w:rPr>
        <w:t>,</w:t>
      </w:r>
      <w:r w:rsidR="00FB7E57">
        <w:rPr>
          <w:sz w:val="24"/>
          <w:szCs w:val="24"/>
        </w:rPr>
        <w:t xml:space="preserve"> as well as fines up to </w:t>
      </w:r>
      <w:r w:rsidR="0017116E">
        <w:rPr>
          <w:sz w:val="24"/>
          <w:szCs w:val="24"/>
        </w:rPr>
        <w:t>thirty-five</w:t>
      </w:r>
      <w:r w:rsidR="00B9024B">
        <w:rPr>
          <w:sz w:val="24"/>
          <w:szCs w:val="24"/>
        </w:rPr>
        <w:t xml:space="preserve"> thousand </w:t>
      </w:r>
      <w:r w:rsidR="00677974">
        <w:rPr>
          <w:sz w:val="24"/>
          <w:szCs w:val="24"/>
        </w:rPr>
        <w:t>dollars (</w:t>
      </w:r>
      <w:r w:rsidR="00FB7E57">
        <w:rPr>
          <w:sz w:val="24"/>
          <w:szCs w:val="24"/>
        </w:rPr>
        <w:t xml:space="preserve">RHPA </w:t>
      </w:r>
      <w:r w:rsidR="00B9498F">
        <w:rPr>
          <w:sz w:val="24"/>
          <w:szCs w:val="24"/>
        </w:rPr>
        <w:t>2024</w:t>
      </w:r>
      <w:r w:rsidR="00FB7E57">
        <w:rPr>
          <w:sz w:val="24"/>
          <w:szCs w:val="24"/>
        </w:rPr>
        <w:t xml:space="preserve">). In the case of sexual abuse by a member holder </w:t>
      </w:r>
      <w:r w:rsidR="003655FA">
        <w:rPr>
          <w:sz w:val="24"/>
          <w:szCs w:val="24"/>
        </w:rPr>
        <w:t xml:space="preserve">to a client </w:t>
      </w:r>
      <w:r w:rsidR="00FB7E57">
        <w:rPr>
          <w:sz w:val="24"/>
          <w:szCs w:val="24"/>
        </w:rPr>
        <w:t xml:space="preserve">its outlined </w:t>
      </w:r>
      <w:r w:rsidR="003E1887">
        <w:rPr>
          <w:sz w:val="24"/>
          <w:szCs w:val="24"/>
        </w:rPr>
        <w:t xml:space="preserve">by the </w:t>
      </w:r>
      <w:r w:rsidR="004B56FC">
        <w:rPr>
          <w:sz w:val="24"/>
          <w:szCs w:val="24"/>
        </w:rPr>
        <w:t xml:space="preserve">regulated health professions act </w:t>
      </w:r>
      <w:r w:rsidR="00955356">
        <w:rPr>
          <w:sz w:val="24"/>
          <w:szCs w:val="24"/>
        </w:rPr>
        <w:t xml:space="preserve">and </w:t>
      </w:r>
      <w:r w:rsidR="004B56FC">
        <w:rPr>
          <w:sz w:val="24"/>
          <w:szCs w:val="24"/>
        </w:rPr>
        <w:t xml:space="preserve">is </w:t>
      </w:r>
      <w:r w:rsidR="00955356">
        <w:rPr>
          <w:sz w:val="24"/>
          <w:szCs w:val="24"/>
        </w:rPr>
        <w:t>require</w:t>
      </w:r>
      <w:r w:rsidR="004B56FC">
        <w:rPr>
          <w:sz w:val="24"/>
          <w:szCs w:val="24"/>
        </w:rPr>
        <w:t>d that</w:t>
      </w:r>
      <w:r w:rsidR="00955356">
        <w:rPr>
          <w:sz w:val="24"/>
          <w:szCs w:val="24"/>
        </w:rPr>
        <w:t xml:space="preserve"> “the member to reimburse </w:t>
      </w:r>
      <w:r w:rsidR="00955356">
        <w:rPr>
          <w:sz w:val="24"/>
          <w:szCs w:val="24"/>
        </w:rPr>
        <w:lastRenderedPageBreak/>
        <w:t xml:space="preserve">the college for funding provided for that </w:t>
      </w:r>
      <w:r w:rsidR="0017116E">
        <w:rPr>
          <w:sz w:val="24"/>
          <w:szCs w:val="24"/>
        </w:rPr>
        <w:t>patient” (</w:t>
      </w:r>
      <w:r w:rsidR="008B67BB">
        <w:rPr>
          <w:sz w:val="24"/>
          <w:szCs w:val="24"/>
        </w:rPr>
        <w:t xml:space="preserve">RHPA </w:t>
      </w:r>
      <w:r w:rsidR="00B9498F">
        <w:rPr>
          <w:sz w:val="24"/>
          <w:szCs w:val="24"/>
        </w:rPr>
        <w:t>2024, no.</w:t>
      </w:r>
      <w:r w:rsidR="008B67BB">
        <w:rPr>
          <w:sz w:val="24"/>
          <w:szCs w:val="24"/>
        </w:rPr>
        <w:t>2 (5.1)). Any</w:t>
      </w:r>
      <w:r w:rsidR="004B56FC">
        <w:rPr>
          <w:sz w:val="24"/>
          <w:szCs w:val="24"/>
        </w:rPr>
        <w:t>,</w:t>
      </w:r>
      <w:r w:rsidR="008B67BB">
        <w:rPr>
          <w:sz w:val="24"/>
          <w:szCs w:val="24"/>
        </w:rPr>
        <w:t xml:space="preserve"> and </w:t>
      </w:r>
      <w:r w:rsidR="00291624">
        <w:rPr>
          <w:sz w:val="24"/>
          <w:szCs w:val="24"/>
        </w:rPr>
        <w:t>all</w:t>
      </w:r>
      <w:r w:rsidR="008B67BB">
        <w:rPr>
          <w:sz w:val="24"/>
          <w:szCs w:val="24"/>
        </w:rPr>
        <w:t xml:space="preserve"> these consequences can be placed upon </w:t>
      </w:r>
      <w:r w:rsidR="00B77DF4">
        <w:rPr>
          <w:sz w:val="24"/>
          <w:szCs w:val="24"/>
        </w:rPr>
        <w:t>members (</w:t>
      </w:r>
      <w:r w:rsidR="008B67BB">
        <w:rPr>
          <w:sz w:val="24"/>
          <w:szCs w:val="24"/>
        </w:rPr>
        <w:t xml:space="preserve">RHPA </w:t>
      </w:r>
      <w:r w:rsidR="00B9498F">
        <w:rPr>
          <w:sz w:val="24"/>
          <w:szCs w:val="24"/>
        </w:rPr>
        <w:t>2024</w:t>
      </w:r>
      <w:r w:rsidR="008B67BB">
        <w:rPr>
          <w:sz w:val="24"/>
          <w:szCs w:val="24"/>
        </w:rPr>
        <w:t xml:space="preserve">). </w:t>
      </w:r>
    </w:p>
    <w:p w14:paraId="701236E3" w14:textId="77777777" w:rsidR="00493165" w:rsidRDefault="00856B2E" w:rsidP="00707451">
      <w:pPr>
        <w:spacing w:after="200" w:line="480" w:lineRule="auto"/>
        <w:rPr>
          <w:b/>
          <w:bCs/>
          <w:sz w:val="24"/>
          <w:szCs w:val="24"/>
        </w:rPr>
      </w:pPr>
      <w:proofErr w:type="gramStart"/>
      <w:r w:rsidRPr="004B56FC">
        <w:rPr>
          <w:b/>
          <w:bCs/>
          <w:sz w:val="24"/>
          <w:szCs w:val="24"/>
        </w:rPr>
        <w:t>Personal opinion</w:t>
      </w:r>
      <w:proofErr w:type="gramEnd"/>
      <w:r w:rsidRPr="004B56FC">
        <w:rPr>
          <w:b/>
          <w:bCs/>
          <w:sz w:val="24"/>
          <w:szCs w:val="24"/>
        </w:rPr>
        <w:t>.</w:t>
      </w:r>
    </w:p>
    <w:p w14:paraId="306307CD" w14:textId="0064F182" w:rsidR="00364EDA" w:rsidRPr="00493165" w:rsidRDefault="00856B2E" w:rsidP="00493165">
      <w:pPr>
        <w:spacing w:after="200" w:line="480" w:lineRule="auto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 feel that the </w:t>
      </w:r>
      <w:r w:rsidR="00C644A0">
        <w:rPr>
          <w:sz w:val="24"/>
          <w:szCs w:val="24"/>
        </w:rPr>
        <w:t>responsibility</w:t>
      </w:r>
      <w:r>
        <w:rPr>
          <w:sz w:val="24"/>
          <w:szCs w:val="24"/>
        </w:rPr>
        <w:t xml:space="preserve"> that is outlined in the regulated health professions act is </w:t>
      </w:r>
      <w:r w:rsidR="00DB753D">
        <w:rPr>
          <w:sz w:val="24"/>
          <w:szCs w:val="24"/>
        </w:rPr>
        <w:t>fair, if anything these rules and regulations will ensure the safety out our clients and ensure that health professionals are</w:t>
      </w:r>
      <w:r w:rsidR="00C644A0">
        <w:rPr>
          <w:sz w:val="24"/>
          <w:szCs w:val="24"/>
        </w:rPr>
        <w:t xml:space="preserve"> providing adequate care for our clients.</w:t>
      </w:r>
      <w:r w:rsidR="006E3E22">
        <w:rPr>
          <w:sz w:val="24"/>
          <w:szCs w:val="24"/>
        </w:rPr>
        <w:t xml:space="preserve"> As for consequences, I see that they are set at a high level as to reduce these things from happening. </w:t>
      </w:r>
      <w:r w:rsidR="006D6FCB">
        <w:rPr>
          <w:sz w:val="24"/>
          <w:szCs w:val="24"/>
        </w:rPr>
        <w:t xml:space="preserve">Based </w:t>
      </w:r>
      <w:r w:rsidR="00DD35A9">
        <w:rPr>
          <w:sz w:val="24"/>
          <w:szCs w:val="24"/>
        </w:rPr>
        <w:t xml:space="preserve">on a study done in 1994 and 2009 both showed that dental hygiene students lacked </w:t>
      </w:r>
      <w:r w:rsidR="0058544C">
        <w:rPr>
          <w:sz w:val="24"/>
          <w:szCs w:val="24"/>
        </w:rPr>
        <w:t xml:space="preserve">the knowledge around the procedures </w:t>
      </w:r>
      <w:r w:rsidR="00CF5EAE">
        <w:rPr>
          <w:sz w:val="24"/>
          <w:szCs w:val="24"/>
        </w:rPr>
        <w:t>of reporting child abuse (</w:t>
      </w:r>
      <w:proofErr w:type="spellStart"/>
      <w:r w:rsidR="00CF5EAE">
        <w:rPr>
          <w:sz w:val="24"/>
          <w:szCs w:val="24"/>
        </w:rPr>
        <w:t>DeMattei</w:t>
      </w:r>
      <w:proofErr w:type="spellEnd"/>
      <w:r w:rsidR="00CF5EAE">
        <w:rPr>
          <w:sz w:val="24"/>
          <w:szCs w:val="24"/>
        </w:rPr>
        <w:t xml:space="preserve"> and Sherry 2011). To me this shows the utmost importance of staying informed </w:t>
      </w:r>
      <w:r w:rsidR="00B3474B">
        <w:rPr>
          <w:sz w:val="24"/>
          <w:szCs w:val="24"/>
        </w:rPr>
        <w:t xml:space="preserve">and recognizing our duty as health care professionals. </w:t>
      </w:r>
      <w:r w:rsidR="00272FA8">
        <w:rPr>
          <w:sz w:val="24"/>
          <w:szCs w:val="24"/>
        </w:rPr>
        <w:t>W</w:t>
      </w:r>
      <w:r w:rsidR="00B77DF4">
        <w:rPr>
          <w:sz w:val="24"/>
          <w:szCs w:val="24"/>
        </w:rPr>
        <w:t xml:space="preserve">hen I think of vulnerable populations and if I had noticed something that was suspected abuse, I would feel absolutely </w:t>
      </w:r>
      <w:r w:rsidR="003E0C84">
        <w:rPr>
          <w:sz w:val="24"/>
          <w:szCs w:val="24"/>
        </w:rPr>
        <w:t xml:space="preserve">obligated </w:t>
      </w:r>
      <w:r w:rsidR="00B77DF4">
        <w:rPr>
          <w:sz w:val="24"/>
          <w:szCs w:val="24"/>
        </w:rPr>
        <w:t xml:space="preserve">to </w:t>
      </w:r>
      <w:r w:rsidR="00364EDA">
        <w:rPr>
          <w:sz w:val="24"/>
          <w:szCs w:val="24"/>
        </w:rPr>
        <w:t xml:space="preserve">report it. </w:t>
      </w:r>
    </w:p>
    <w:p w14:paraId="40BBA351" w14:textId="0CE87D83" w:rsidR="00364EDA" w:rsidRPr="004B56FC" w:rsidRDefault="00364EDA" w:rsidP="00707451">
      <w:pPr>
        <w:spacing w:after="200" w:line="480" w:lineRule="auto"/>
        <w:rPr>
          <w:b/>
          <w:bCs/>
          <w:sz w:val="24"/>
          <w:szCs w:val="24"/>
        </w:rPr>
      </w:pPr>
      <w:r w:rsidRPr="004B56FC">
        <w:rPr>
          <w:b/>
          <w:bCs/>
          <w:sz w:val="24"/>
          <w:szCs w:val="24"/>
        </w:rPr>
        <w:t>CADH situation.</w:t>
      </w:r>
    </w:p>
    <w:p w14:paraId="4E7E49FB" w14:textId="3604984A" w:rsidR="00364EDA" w:rsidRPr="0029231E" w:rsidRDefault="00364EDA" w:rsidP="00707451">
      <w:pPr>
        <w:spacing w:after="200"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If I were to suspect a </w:t>
      </w:r>
      <w:r w:rsidR="006717DD">
        <w:rPr>
          <w:sz w:val="24"/>
          <w:szCs w:val="24"/>
        </w:rPr>
        <w:t xml:space="preserve">situation of abuse, </w:t>
      </w:r>
      <w:r w:rsidR="00997CBE">
        <w:rPr>
          <w:sz w:val="24"/>
          <w:szCs w:val="24"/>
        </w:rPr>
        <w:t xml:space="preserve">whether </w:t>
      </w:r>
      <w:r w:rsidR="00EC7045">
        <w:rPr>
          <w:sz w:val="24"/>
          <w:szCs w:val="24"/>
        </w:rPr>
        <w:t>it</w:t>
      </w:r>
      <w:r w:rsidR="00997CBE">
        <w:rPr>
          <w:sz w:val="24"/>
          <w:szCs w:val="24"/>
        </w:rPr>
        <w:t xml:space="preserve"> be child, adult or senior </w:t>
      </w:r>
      <w:r w:rsidR="006717DD">
        <w:rPr>
          <w:sz w:val="24"/>
          <w:szCs w:val="24"/>
        </w:rPr>
        <w:t xml:space="preserve">I would make note of all the </w:t>
      </w:r>
      <w:r w:rsidR="005E616E">
        <w:rPr>
          <w:sz w:val="24"/>
          <w:szCs w:val="24"/>
        </w:rPr>
        <w:t xml:space="preserve">things I had seen or had been told. I would then relay all the information to my faculty. As a student hygienist I would rely on my faculty to help aid me in following the correct procedures, </w:t>
      </w:r>
      <w:r w:rsidR="00467013">
        <w:rPr>
          <w:sz w:val="24"/>
          <w:szCs w:val="24"/>
        </w:rPr>
        <w:t xml:space="preserve">and how to </w:t>
      </w:r>
      <w:r w:rsidR="00F61DED">
        <w:rPr>
          <w:sz w:val="24"/>
          <w:szCs w:val="24"/>
        </w:rPr>
        <w:t>deal with the situation appropriately and carefully.</w:t>
      </w:r>
      <w:r w:rsidR="00184784">
        <w:rPr>
          <w:sz w:val="24"/>
          <w:szCs w:val="24"/>
        </w:rPr>
        <w:t xml:space="preserve"> </w:t>
      </w:r>
      <w:r w:rsidR="00A87946">
        <w:rPr>
          <w:sz w:val="24"/>
          <w:szCs w:val="24"/>
        </w:rPr>
        <w:t xml:space="preserve">If the threat was </w:t>
      </w:r>
      <w:r w:rsidR="00997CBE">
        <w:rPr>
          <w:sz w:val="24"/>
          <w:szCs w:val="24"/>
        </w:rPr>
        <w:t>immediate,</w:t>
      </w:r>
      <w:r w:rsidR="00A87946">
        <w:rPr>
          <w:sz w:val="24"/>
          <w:szCs w:val="24"/>
        </w:rPr>
        <w:t xml:space="preserve"> I would have the local police called</w:t>
      </w:r>
      <w:r w:rsidR="00A13B03">
        <w:rPr>
          <w:sz w:val="24"/>
          <w:szCs w:val="24"/>
        </w:rPr>
        <w:t xml:space="preserve"> </w:t>
      </w:r>
      <w:r w:rsidR="00A275AE">
        <w:rPr>
          <w:sz w:val="24"/>
          <w:szCs w:val="24"/>
        </w:rPr>
        <w:t>(</w:t>
      </w:r>
      <w:r w:rsidR="002A33AA">
        <w:rPr>
          <w:sz w:val="24"/>
          <w:szCs w:val="24"/>
        </w:rPr>
        <w:t>Fur</w:t>
      </w:r>
      <w:r w:rsidR="00A13B03">
        <w:rPr>
          <w:sz w:val="24"/>
          <w:szCs w:val="24"/>
        </w:rPr>
        <w:t>nari 2011)</w:t>
      </w:r>
      <w:r w:rsidR="004D4A29">
        <w:rPr>
          <w:sz w:val="24"/>
          <w:szCs w:val="24"/>
        </w:rPr>
        <w:t xml:space="preserve">. If it was a child or senior I would have it reported and if it was adult I would educate them on </w:t>
      </w:r>
      <w:r w:rsidR="00C02A4C">
        <w:rPr>
          <w:sz w:val="24"/>
          <w:szCs w:val="24"/>
        </w:rPr>
        <w:t xml:space="preserve">resources </w:t>
      </w:r>
      <w:r w:rsidR="002A33AA">
        <w:rPr>
          <w:sz w:val="24"/>
          <w:szCs w:val="24"/>
        </w:rPr>
        <w:t>available (</w:t>
      </w:r>
      <w:r w:rsidR="00A275AE">
        <w:rPr>
          <w:sz w:val="24"/>
          <w:szCs w:val="24"/>
        </w:rPr>
        <w:t>CDHO 2020)</w:t>
      </w:r>
      <w:r w:rsidR="00C02A4C">
        <w:rPr>
          <w:sz w:val="24"/>
          <w:szCs w:val="24"/>
        </w:rPr>
        <w:t xml:space="preserve">. </w:t>
      </w:r>
      <w:r w:rsidR="00BE1FBD">
        <w:rPr>
          <w:sz w:val="24"/>
          <w:szCs w:val="24"/>
        </w:rPr>
        <w:t xml:space="preserve">During this time as a </w:t>
      </w:r>
      <w:r w:rsidR="00997CBE">
        <w:rPr>
          <w:sz w:val="24"/>
          <w:szCs w:val="24"/>
        </w:rPr>
        <w:t>student,</w:t>
      </w:r>
      <w:r w:rsidR="00BE1FBD">
        <w:rPr>
          <w:sz w:val="24"/>
          <w:szCs w:val="24"/>
        </w:rPr>
        <w:t xml:space="preserve"> I would look to my registered faculty to help me navigate this difficult situation. </w:t>
      </w:r>
    </w:p>
    <w:p w14:paraId="6A8D8780" w14:textId="0E239340" w:rsidR="004E3B0E" w:rsidRDefault="004E3B0E" w:rsidP="007422A8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DED4F6" w14:textId="77777777" w:rsidR="003559D7" w:rsidRPr="00DB4FFC" w:rsidRDefault="003559D7" w:rsidP="00DB4FFC">
      <w:pPr>
        <w:spacing w:line="480" w:lineRule="auto"/>
        <w:rPr>
          <w:sz w:val="24"/>
          <w:szCs w:val="24"/>
        </w:rPr>
        <w:sectPr w:rsidR="003559D7" w:rsidRPr="00DB4FFC" w:rsidSect="00FD1B80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115F6AB" w14:textId="465D416E" w:rsidR="003559D7" w:rsidRDefault="00FD1B80" w:rsidP="00FD1B8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LITERATURE CITED</w:t>
      </w:r>
    </w:p>
    <w:p w14:paraId="0AD4D756" w14:textId="77777777" w:rsidR="00475A31" w:rsidRDefault="00475A31" w:rsidP="006F1086">
      <w:pPr>
        <w:rPr>
          <w:sz w:val="24"/>
          <w:szCs w:val="24"/>
        </w:rPr>
      </w:pPr>
    </w:p>
    <w:p w14:paraId="4EBD586D" w14:textId="77777777" w:rsidR="00475A31" w:rsidRDefault="00475A31" w:rsidP="006F1086">
      <w:pPr>
        <w:rPr>
          <w:sz w:val="24"/>
          <w:szCs w:val="24"/>
        </w:rPr>
      </w:pPr>
    </w:p>
    <w:p w14:paraId="7756B408" w14:textId="2255C042" w:rsidR="00475A31" w:rsidRPr="00492F86" w:rsidRDefault="00475A31" w:rsidP="00B9498F">
      <w:pPr>
        <w:ind w:left="720" w:hanging="720"/>
        <w:rPr>
          <w:color w:val="0F243E" w:themeColor="text2" w:themeShade="80"/>
          <w:sz w:val="24"/>
          <w:szCs w:val="24"/>
        </w:rPr>
      </w:pPr>
      <w:r w:rsidRPr="00492F86">
        <w:rPr>
          <w:color w:val="000000" w:themeColor="text1"/>
          <w:sz w:val="24"/>
          <w:szCs w:val="24"/>
        </w:rPr>
        <w:t xml:space="preserve">CDHO. Registrants’ Handbook. [Internet] 175 Bloor St. E., North Tower, Suite 601, Toronto, ON; Nov 2022 [Cited 2024 Oct 18]; Available from: </w:t>
      </w:r>
      <w:hyperlink r:id="rId8" w:history="1">
        <w:r w:rsidRPr="00492F86">
          <w:rPr>
            <w:rStyle w:val="Hyperlink"/>
            <w:color w:val="0F243E" w:themeColor="text2" w:themeShade="80"/>
            <w:sz w:val="24"/>
            <w:szCs w:val="24"/>
          </w:rPr>
          <w:t>https://cdho.org/wp-content/uploads/2023/07/RegistrantsHandbook.pdf</w:t>
        </w:r>
      </w:hyperlink>
      <w:r w:rsidRPr="00492F86">
        <w:rPr>
          <w:color w:val="0F243E" w:themeColor="text2" w:themeShade="80"/>
          <w:sz w:val="24"/>
          <w:szCs w:val="24"/>
        </w:rPr>
        <w:t xml:space="preserve"> </w:t>
      </w:r>
    </w:p>
    <w:p w14:paraId="0F2E3B89" w14:textId="77777777" w:rsidR="00475A31" w:rsidRPr="00492F86" w:rsidRDefault="00475A31" w:rsidP="00B9498F">
      <w:pPr>
        <w:ind w:left="720" w:hanging="720"/>
        <w:rPr>
          <w:color w:val="000000" w:themeColor="text1"/>
          <w:sz w:val="24"/>
          <w:szCs w:val="24"/>
        </w:rPr>
      </w:pPr>
    </w:p>
    <w:p w14:paraId="54459263" w14:textId="77777777" w:rsidR="00475A31" w:rsidRPr="00492F86" w:rsidRDefault="00475A31" w:rsidP="00B949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</w:pPr>
      <w:proofErr w:type="spellStart"/>
      <w:r w:rsidRPr="00492F86"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  <w:t>DeMattei</w:t>
      </w:r>
      <w:proofErr w:type="spellEnd"/>
      <w:r w:rsidRPr="00492F86"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  <w:t xml:space="preserve"> RR, Sherry JS. Initiating discourse on recognizing and reporting child abuse. Can J Dent </w:t>
      </w:r>
      <w:proofErr w:type="spellStart"/>
      <w:r w:rsidRPr="00492F86"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  <w:t>Hyg</w:t>
      </w:r>
      <w:proofErr w:type="spellEnd"/>
      <w:r w:rsidRPr="00492F86"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  <w:t>. 2011;45(4):253-258.</w:t>
      </w:r>
    </w:p>
    <w:p w14:paraId="75C35032" w14:textId="77777777" w:rsidR="00475A31" w:rsidRPr="00492F86" w:rsidRDefault="00475A31" w:rsidP="00B949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</w:pPr>
    </w:p>
    <w:p w14:paraId="0C0DC6FF" w14:textId="7B3DBC8A" w:rsidR="00475A31" w:rsidRPr="00492F86" w:rsidRDefault="00475A31" w:rsidP="00B949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</w:pPr>
      <w:r w:rsidRPr="00492F86"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  <w:t xml:space="preserve">Furnari, W. Oral health professional alert: Elder abuse concern in the United States and Canada. Can J Dent </w:t>
      </w:r>
      <w:proofErr w:type="spellStart"/>
      <w:r w:rsidRPr="00492F86"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  <w:t>Hyg</w:t>
      </w:r>
      <w:proofErr w:type="spellEnd"/>
      <w:r w:rsidRPr="00492F86"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  <w:t>. 2011;45(2):98-102.</w:t>
      </w:r>
    </w:p>
    <w:p w14:paraId="52B094A8" w14:textId="77777777" w:rsidR="00475A31" w:rsidRPr="00492F86" w:rsidRDefault="00475A31" w:rsidP="00B949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eastAsiaTheme="minorHAnsi"/>
          <w:color w:val="000000" w:themeColor="text1"/>
          <w:sz w:val="24"/>
          <w:szCs w:val="24"/>
          <w:lang w:val="en-US"/>
          <w14:ligatures w14:val="standardContextual"/>
        </w:rPr>
      </w:pPr>
    </w:p>
    <w:p w14:paraId="0797CEC0" w14:textId="3F2FE370" w:rsidR="00475A31" w:rsidRPr="00492F86" w:rsidRDefault="00475A31" w:rsidP="00B9498F">
      <w:pPr>
        <w:ind w:left="720" w:hanging="720"/>
        <w:rPr>
          <w:color w:val="000000" w:themeColor="text1"/>
          <w:sz w:val="24"/>
          <w:szCs w:val="24"/>
        </w:rPr>
      </w:pPr>
      <w:r w:rsidRPr="00492F86">
        <w:rPr>
          <w:color w:val="000000" w:themeColor="text1"/>
          <w:sz w:val="24"/>
          <w:szCs w:val="24"/>
        </w:rPr>
        <w:t>Government of Ontario. Regulated Health Professions Act 1991 [Internet]. 2024 July 1 [Cited 2024 Oct 18]; Available from:</w:t>
      </w:r>
      <w:r w:rsidR="00492F86" w:rsidRPr="00492F86">
        <w:rPr>
          <w:color w:val="000000" w:themeColor="text1"/>
          <w:sz w:val="24"/>
          <w:szCs w:val="24"/>
        </w:rPr>
        <w:t xml:space="preserve"> </w:t>
      </w:r>
      <w:hyperlink r:id="rId9" w:anchor="BK113" w:history="1">
        <w:r w:rsidR="00492F86" w:rsidRPr="00492F86">
          <w:rPr>
            <w:rStyle w:val="Hyperlink"/>
            <w:color w:val="000000" w:themeColor="text1"/>
            <w:sz w:val="24"/>
            <w:szCs w:val="24"/>
          </w:rPr>
          <w:t>https://www.ontario.ca/laws/statute/91r18#BK113</w:t>
        </w:r>
      </w:hyperlink>
    </w:p>
    <w:p w14:paraId="0AA25CEB" w14:textId="77777777" w:rsidR="00DF0BF0" w:rsidRDefault="00DF0BF0" w:rsidP="00DB4FFC">
      <w:pPr>
        <w:jc w:val="center"/>
        <w:rPr>
          <w:sz w:val="24"/>
          <w:szCs w:val="24"/>
        </w:rPr>
      </w:pPr>
    </w:p>
    <w:p w14:paraId="34078CB1" w14:textId="77777777" w:rsidR="00DF0BF0" w:rsidRDefault="00DF0BF0" w:rsidP="00DB4FFC">
      <w:pPr>
        <w:jc w:val="center"/>
        <w:rPr>
          <w:sz w:val="24"/>
          <w:szCs w:val="24"/>
        </w:rPr>
      </w:pPr>
    </w:p>
    <w:p w14:paraId="7BE78CF4" w14:textId="77777777" w:rsidR="00FD1B80" w:rsidRDefault="00FD1B80" w:rsidP="00DB4FFC">
      <w:pPr>
        <w:jc w:val="center"/>
        <w:rPr>
          <w:sz w:val="24"/>
          <w:szCs w:val="24"/>
        </w:rPr>
        <w:sectPr w:rsidR="00FD1B80" w:rsidSect="00DA546D">
          <w:pgSz w:w="12240" w:h="15840"/>
          <w:pgMar w:top="22" w:right="900" w:bottom="1440" w:left="1440" w:header="708" w:footer="708" w:gutter="0"/>
          <w:cols w:space="708"/>
          <w:docGrid w:linePitch="360"/>
        </w:sectPr>
      </w:pPr>
    </w:p>
    <w:p w14:paraId="74BFE4AF" w14:textId="784A513B" w:rsidR="00AB6699" w:rsidRPr="00560755" w:rsidRDefault="00AB6699" w:rsidP="00DB4FFC">
      <w:pPr>
        <w:jc w:val="center"/>
        <w:rPr>
          <w:sz w:val="24"/>
          <w:szCs w:val="24"/>
        </w:rPr>
      </w:pPr>
    </w:p>
    <w:p w14:paraId="26522269" w14:textId="77777777" w:rsidR="00912C3D" w:rsidRPr="00912C3D" w:rsidRDefault="00912C3D" w:rsidP="00DB4FFC">
      <w:pPr>
        <w:rPr>
          <w:sz w:val="24"/>
          <w:szCs w:val="24"/>
        </w:rPr>
      </w:pPr>
    </w:p>
    <w:p w14:paraId="45CE7BD2" w14:textId="77777777" w:rsidR="00912C3D" w:rsidRPr="00E304DE" w:rsidRDefault="00912C3D" w:rsidP="00DA546D">
      <w:pPr>
        <w:rPr>
          <w:sz w:val="10"/>
          <w:szCs w:val="10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3868"/>
        <w:gridCol w:w="3869"/>
        <w:gridCol w:w="993"/>
      </w:tblGrid>
      <w:tr w:rsidR="00CD2773" w14:paraId="517806DD" w14:textId="77777777" w:rsidTr="00B66378">
        <w:trPr>
          <w:trHeight w:val="454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55050" w14:textId="77777777" w:rsidR="00CD2773" w:rsidRDefault="00CD2773" w:rsidP="00B66378">
            <w:pPr>
              <w:jc w:val="center"/>
              <w:rPr>
                <w:b/>
              </w:rPr>
            </w:pPr>
            <w:r>
              <w:rPr>
                <w:b/>
              </w:rPr>
              <w:t>DH 301 Reflective Journalling Rubric</w:t>
            </w:r>
          </w:p>
          <w:p w14:paraId="00C6D2E7" w14:textId="77777777" w:rsidR="00CD2773" w:rsidRDefault="00CD2773" w:rsidP="00B66378">
            <w:pPr>
              <w:jc w:val="center"/>
              <w:rPr>
                <w:b/>
              </w:rPr>
            </w:pPr>
          </w:p>
          <w:p w14:paraId="6695971F" w14:textId="77777777" w:rsidR="00CD2773" w:rsidRDefault="00CD2773" w:rsidP="00B66378">
            <w:pPr>
              <w:rPr>
                <w:b/>
              </w:rPr>
            </w:pPr>
            <w:r>
              <w:rPr>
                <w:b/>
              </w:rPr>
              <w:t xml:space="preserve">Journals 1-8 and final self-reflection: </w:t>
            </w:r>
          </w:p>
          <w:p w14:paraId="13D36ABD" w14:textId="77777777" w:rsidR="00CD2773" w:rsidRPr="00AA7964" w:rsidRDefault="00CD2773" w:rsidP="00B6637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AA7964">
              <w:rPr>
                <w:bCs/>
              </w:rPr>
              <w:t xml:space="preserve">Each reflection has a maximum score of 5. </w:t>
            </w:r>
          </w:p>
          <w:p w14:paraId="30B297DF" w14:textId="77777777" w:rsidR="00CD2773" w:rsidRPr="00AA7964" w:rsidRDefault="00CD2773" w:rsidP="00B6637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AA7964">
              <w:rPr>
                <w:bCs/>
              </w:rPr>
              <w:t>Overall maximum score achievable = 45 points</w:t>
            </w:r>
          </w:p>
          <w:p w14:paraId="4E791D3A" w14:textId="77777777" w:rsidR="00CD2773" w:rsidRDefault="00CD2773" w:rsidP="00B6637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A7964">
              <w:rPr>
                <w:bCs/>
              </w:rPr>
              <w:t>Overall minimum score required to successfully complete the requirement: 80%</w:t>
            </w:r>
            <w:r w:rsidRPr="00AA7964">
              <w:rPr>
                <w:b/>
              </w:rPr>
              <w:t xml:space="preserve"> </w:t>
            </w:r>
          </w:p>
          <w:p w14:paraId="17632465" w14:textId="77777777" w:rsidR="00CD2773" w:rsidRPr="00AA7964" w:rsidRDefault="00CD2773" w:rsidP="00B66378">
            <w:pPr>
              <w:pStyle w:val="ListParagraph"/>
              <w:rPr>
                <w:b/>
              </w:rPr>
            </w:pPr>
          </w:p>
        </w:tc>
      </w:tr>
      <w:tr w:rsidR="00CD2773" w14:paraId="3E8F6BFB" w14:textId="77777777" w:rsidTr="00B66378">
        <w:trPr>
          <w:trHeight w:val="454"/>
        </w:trPr>
        <w:tc>
          <w:tcPr>
            <w:tcW w:w="19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C33C4" w14:textId="77777777" w:rsidR="00CD2773" w:rsidRPr="009B3928" w:rsidRDefault="00CD2773" w:rsidP="00B66378">
            <w:pPr>
              <w:jc w:val="center"/>
              <w:rPr>
                <w:b/>
              </w:rPr>
            </w:pPr>
            <w:r w:rsidRPr="009B3928">
              <w:rPr>
                <w:b/>
              </w:rPr>
              <w:t>Criteria</w:t>
            </w:r>
          </w:p>
        </w:tc>
        <w:tc>
          <w:tcPr>
            <w:tcW w:w="3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A93C2" w14:textId="77777777" w:rsidR="00CD2773" w:rsidRPr="00E304DE" w:rsidRDefault="00CD2773" w:rsidP="00B66378">
            <w:pPr>
              <w:jc w:val="center"/>
            </w:pPr>
            <w:r w:rsidRPr="009B3928">
              <w:rPr>
                <w:b/>
              </w:rPr>
              <w:t>Meets Expectations - Successful (S)</w:t>
            </w:r>
          </w:p>
        </w:tc>
        <w:tc>
          <w:tcPr>
            <w:tcW w:w="38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3641A" w14:textId="77777777" w:rsidR="00CD2773" w:rsidRPr="00E304DE" w:rsidRDefault="00CD2773" w:rsidP="00B66378">
            <w:pPr>
              <w:jc w:val="center"/>
            </w:pPr>
            <w:r w:rsidRPr="009B3928">
              <w:rPr>
                <w:b/>
              </w:rPr>
              <w:t>Below Expectations - Unsuccessful (U)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3FF21" w14:textId="77777777" w:rsidR="00CD2773" w:rsidRPr="009B3928" w:rsidRDefault="00CD2773" w:rsidP="00B66378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CD2773" w14:paraId="05031C23" w14:textId="77777777" w:rsidTr="00B66378">
        <w:tc>
          <w:tcPr>
            <w:tcW w:w="1902" w:type="dxa"/>
            <w:shd w:val="clear" w:color="auto" w:fill="auto"/>
            <w:vAlign w:val="center"/>
          </w:tcPr>
          <w:p w14:paraId="1F2E519B" w14:textId="77777777" w:rsidR="00CD2773" w:rsidRPr="005E5B04" w:rsidRDefault="00CD2773" w:rsidP="00B66378">
            <w:pPr>
              <w:jc w:val="center"/>
              <w:rPr>
                <w:b/>
                <w:bCs/>
                <w:sz w:val="22"/>
                <w:szCs w:val="19"/>
              </w:rPr>
            </w:pPr>
            <w:r w:rsidRPr="005E5B04">
              <w:rPr>
                <w:b/>
                <w:bCs/>
                <w:sz w:val="22"/>
                <w:szCs w:val="19"/>
              </w:rPr>
              <w:t>Content</w:t>
            </w:r>
          </w:p>
          <w:p w14:paraId="4EFD5D7B" w14:textId="77777777" w:rsidR="00CD2773" w:rsidRPr="005E5B04" w:rsidRDefault="00CD2773" w:rsidP="00B66378">
            <w:pPr>
              <w:jc w:val="center"/>
              <w:rPr>
                <w:b/>
                <w:bCs/>
                <w:sz w:val="22"/>
                <w:szCs w:val="19"/>
              </w:rPr>
            </w:pPr>
          </w:p>
          <w:p w14:paraId="68F81E09" w14:textId="77777777" w:rsidR="00CD2773" w:rsidRPr="00DB0534" w:rsidRDefault="00CD2773" w:rsidP="00B66378">
            <w:pPr>
              <w:jc w:val="center"/>
              <w:rPr>
                <w:sz w:val="22"/>
                <w:szCs w:val="19"/>
              </w:rPr>
            </w:pPr>
            <w:r w:rsidRPr="005E5B04">
              <w:rPr>
                <w:b/>
                <w:bCs/>
                <w:sz w:val="22"/>
                <w:szCs w:val="19"/>
              </w:rPr>
              <w:t xml:space="preserve">/ </w:t>
            </w:r>
            <w:r>
              <w:rPr>
                <w:b/>
                <w:bCs/>
                <w:sz w:val="22"/>
                <w:szCs w:val="19"/>
              </w:rPr>
              <w:t>3</w:t>
            </w:r>
          </w:p>
        </w:tc>
        <w:tc>
          <w:tcPr>
            <w:tcW w:w="3868" w:type="dxa"/>
            <w:shd w:val="clear" w:color="auto" w:fill="auto"/>
          </w:tcPr>
          <w:p w14:paraId="11A51DC2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b/>
                <w:szCs w:val="18"/>
              </w:rPr>
            </w:pPr>
            <w:r w:rsidRPr="00BF6B98">
              <w:rPr>
                <w:szCs w:val="18"/>
              </w:rPr>
              <w:t>Describes the topic with sufficient detail.</w:t>
            </w:r>
          </w:p>
          <w:p w14:paraId="067350D4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b/>
                <w:szCs w:val="18"/>
              </w:rPr>
            </w:pPr>
            <w:r w:rsidRPr="00BF6B98">
              <w:rPr>
                <w:szCs w:val="18"/>
              </w:rPr>
              <w:t>Usually focuses on important information and details.</w:t>
            </w:r>
          </w:p>
          <w:p w14:paraId="10F09515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Usually identifies key points / relationships between ideas.</w:t>
            </w:r>
          </w:p>
          <w:p w14:paraId="789405B7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Explanations are sufficiently focused and developed, and usually logical.</w:t>
            </w:r>
          </w:p>
          <w:p w14:paraId="61AC3B6F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Usually supports ideas with sound rationales and/or relevant evidence (including references).</w:t>
            </w:r>
          </w:p>
          <w:p w14:paraId="2770F834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Demonstrates an adequate level of critical thinking ability.</w:t>
            </w:r>
          </w:p>
          <w:p w14:paraId="33EEA56E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Relates the topic to previous experiences and/or to dental hygiene theory and /practice with adequate depth.</w:t>
            </w:r>
          </w:p>
        </w:tc>
        <w:tc>
          <w:tcPr>
            <w:tcW w:w="3869" w:type="dxa"/>
            <w:shd w:val="clear" w:color="auto" w:fill="auto"/>
          </w:tcPr>
          <w:p w14:paraId="654D2BD3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Does not describe the topic with sufficient detail.</w:t>
            </w:r>
          </w:p>
          <w:p w14:paraId="5C9726B3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Does not focus on important information or details.</w:t>
            </w:r>
          </w:p>
          <w:p w14:paraId="2DB49432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Often fails to identify key points / relationship(s) between ideas.</w:t>
            </w:r>
          </w:p>
          <w:p w14:paraId="03A5FC9D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 xml:space="preserve">Explanations are often tenuous and vague, not fully developed, and/or not logical. </w:t>
            </w:r>
          </w:p>
          <w:p w14:paraId="11D8BA3A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Provides little or no support or rationales for ideas (including references).</w:t>
            </w:r>
          </w:p>
          <w:p w14:paraId="426CF679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Demonstrates some, but limited, critical thinking ability.</w:t>
            </w:r>
          </w:p>
          <w:p w14:paraId="69384AA9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Does not relate the topic to previous experiences and/or to dental hygiene theory and /practice.</w:t>
            </w:r>
          </w:p>
        </w:tc>
        <w:tc>
          <w:tcPr>
            <w:tcW w:w="993" w:type="dxa"/>
            <w:shd w:val="clear" w:color="auto" w:fill="auto"/>
          </w:tcPr>
          <w:p w14:paraId="2F9512E8" w14:textId="13D167CF" w:rsidR="00CD2773" w:rsidRPr="00E304DE" w:rsidRDefault="00F81B8C" w:rsidP="00B66378">
            <w:r>
              <w:t>3</w:t>
            </w:r>
          </w:p>
        </w:tc>
      </w:tr>
      <w:tr w:rsidR="00CD2773" w14:paraId="4F25D4AE" w14:textId="77777777" w:rsidTr="00B66378">
        <w:tc>
          <w:tcPr>
            <w:tcW w:w="1902" w:type="dxa"/>
            <w:shd w:val="clear" w:color="auto" w:fill="auto"/>
            <w:vAlign w:val="center"/>
          </w:tcPr>
          <w:p w14:paraId="635B13A0" w14:textId="77777777" w:rsidR="00CD2773" w:rsidRPr="00726498" w:rsidRDefault="00CD2773" w:rsidP="00B66378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 w:rsidRPr="00726498">
              <w:rPr>
                <w:b/>
                <w:bCs/>
                <w:sz w:val="22"/>
                <w:szCs w:val="19"/>
              </w:rPr>
              <w:t>Communication</w:t>
            </w:r>
          </w:p>
          <w:p w14:paraId="380CC1B5" w14:textId="77777777" w:rsidR="00CD2773" w:rsidRPr="00726498" w:rsidRDefault="00CD2773" w:rsidP="00B66378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</w:p>
          <w:p w14:paraId="5C701BC3" w14:textId="77777777" w:rsidR="00CD2773" w:rsidRPr="00726498" w:rsidRDefault="00CD2773" w:rsidP="00B66378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 w:rsidRPr="00726498">
              <w:rPr>
                <w:b/>
                <w:bCs/>
                <w:sz w:val="22"/>
                <w:szCs w:val="19"/>
              </w:rPr>
              <w:t xml:space="preserve">/ </w:t>
            </w:r>
            <w:r>
              <w:rPr>
                <w:b/>
                <w:bCs/>
                <w:sz w:val="22"/>
                <w:szCs w:val="19"/>
              </w:rPr>
              <w:t>1</w:t>
            </w:r>
          </w:p>
        </w:tc>
        <w:tc>
          <w:tcPr>
            <w:tcW w:w="3868" w:type="dxa"/>
            <w:shd w:val="clear" w:color="auto" w:fill="auto"/>
          </w:tcPr>
          <w:p w14:paraId="53E5EDF7" w14:textId="77777777" w:rsidR="00CD2773" w:rsidRPr="00BF6B98" w:rsidRDefault="00CD2773" w:rsidP="00B66378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proofErr w:type="gramStart"/>
            <w:r w:rsidRPr="3A4C0F48">
              <w:rPr>
                <w:sz w:val="20"/>
                <w:szCs w:val="20"/>
                <w:lang w:val="en-GB"/>
              </w:rPr>
              <w:t>Generally</w:t>
            </w:r>
            <w:proofErr w:type="gramEnd"/>
            <w:r w:rsidRPr="3A4C0F48">
              <w:rPr>
                <w:sz w:val="20"/>
                <w:szCs w:val="20"/>
                <w:lang w:val="en-GB"/>
              </w:rPr>
              <w:t xml:space="preserve"> uses a fluid style of writing that informs and convinces. </w:t>
            </w:r>
          </w:p>
          <w:p w14:paraId="36E70CAD" w14:textId="77777777" w:rsidR="00CD2773" w:rsidRPr="00BF6B98" w:rsidRDefault="00CD2773" w:rsidP="00B66378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Usually uses professional terminology.</w:t>
            </w:r>
          </w:p>
          <w:p w14:paraId="58DE0A8F" w14:textId="77777777" w:rsidR="00CD2773" w:rsidRPr="00BF6B98" w:rsidRDefault="00CD2773" w:rsidP="00B66378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proofErr w:type="gramStart"/>
            <w:r w:rsidRPr="09D41AD3">
              <w:rPr>
                <w:sz w:val="20"/>
                <w:szCs w:val="20"/>
                <w:lang w:val="en-GB"/>
              </w:rPr>
              <w:t>Usually</w:t>
            </w:r>
            <w:proofErr w:type="gramEnd"/>
            <w:r w:rsidRPr="09D41AD3">
              <w:rPr>
                <w:sz w:val="20"/>
                <w:szCs w:val="20"/>
                <w:lang w:val="en-GB"/>
              </w:rPr>
              <w:t xml:space="preserve"> sequences ideas logically.</w:t>
            </w:r>
          </w:p>
          <w:p w14:paraId="5947F540" w14:textId="77777777" w:rsidR="00CD2773" w:rsidRPr="3A4C0F48" w:rsidRDefault="00CD2773" w:rsidP="00B66378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5B1D5C">
              <w:rPr>
                <w:sz w:val="20"/>
                <w:szCs w:val="14"/>
              </w:rPr>
              <w:t>Satisfactorily uses English language conventions; may include some weaknesses, but no meaning is lost.</w:t>
            </w:r>
          </w:p>
        </w:tc>
        <w:tc>
          <w:tcPr>
            <w:tcW w:w="3869" w:type="dxa"/>
            <w:shd w:val="clear" w:color="auto" w:fill="auto"/>
          </w:tcPr>
          <w:p w14:paraId="38988845" w14:textId="77777777" w:rsidR="00CD2773" w:rsidRPr="00BF6B98" w:rsidRDefault="00CD2773" w:rsidP="00B66378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Demonstrates a lack of coherency and clarity in the writing.</w:t>
            </w:r>
          </w:p>
          <w:p w14:paraId="4EB087BF" w14:textId="77777777" w:rsidR="00CD2773" w:rsidRPr="00BF6B98" w:rsidRDefault="00CD2773" w:rsidP="00B66378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Limited or no use of professional terminology.</w:t>
            </w:r>
          </w:p>
          <w:p w14:paraId="65548B91" w14:textId="77777777" w:rsidR="00CD2773" w:rsidRPr="00BF6B98" w:rsidRDefault="00CD2773" w:rsidP="00B66378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Ideas not logically sequenced.</w:t>
            </w:r>
          </w:p>
          <w:p w14:paraId="777B2A11" w14:textId="77777777" w:rsidR="00CD2773" w:rsidRPr="00BF6B98" w:rsidRDefault="00CD2773" w:rsidP="00B66378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3A4C0F48">
              <w:rPr>
                <w:sz w:val="20"/>
                <w:szCs w:val="20"/>
                <w:lang w:val="en-GB"/>
              </w:rPr>
              <w:t>Often fails to integrate English language conventions and /or meaning is lost</w:t>
            </w:r>
          </w:p>
        </w:tc>
        <w:tc>
          <w:tcPr>
            <w:tcW w:w="993" w:type="dxa"/>
            <w:shd w:val="clear" w:color="auto" w:fill="auto"/>
          </w:tcPr>
          <w:p w14:paraId="4B09B9B3" w14:textId="273E15A7" w:rsidR="00CD2773" w:rsidRPr="00E304DE" w:rsidRDefault="00F81B8C" w:rsidP="00B66378">
            <w:r>
              <w:t>1</w:t>
            </w:r>
          </w:p>
        </w:tc>
      </w:tr>
      <w:tr w:rsidR="00CD2773" w14:paraId="7949C4B4" w14:textId="77777777" w:rsidTr="00B66378">
        <w:trPr>
          <w:trHeight w:val="1798"/>
        </w:trPr>
        <w:tc>
          <w:tcPr>
            <w:tcW w:w="1902" w:type="dxa"/>
            <w:vMerge w:val="restart"/>
            <w:shd w:val="clear" w:color="auto" w:fill="auto"/>
            <w:vAlign w:val="center"/>
          </w:tcPr>
          <w:p w14:paraId="795CEA14" w14:textId="77777777" w:rsidR="00CD2773" w:rsidRPr="00726498" w:rsidRDefault="00CD2773" w:rsidP="00B66378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>
              <w:rPr>
                <w:b/>
                <w:bCs/>
                <w:sz w:val="22"/>
                <w:szCs w:val="19"/>
              </w:rPr>
              <w:t>Referencing</w:t>
            </w:r>
          </w:p>
          <w:p w14:paraId="7C8CFD6B" w14:textId="77777777" w:rsidR="00CD2773" w:rsidRPr="00726498" w:rsidRDefault="00CD2773" w:rsidP="00B66378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</w:p>
          <w:p w14:paraId="47E2F153" w14:textId="77777777" w:rsidR="00CD2773" w:rsidRPr="005E5B04" w:rsidRDefault="00CD2773" w:rsidP="00B66378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 w:rsidRPr="00726498">
              <w:rPr>
                <w:b/>
                <w:bCs/>
                <w:sz w:val="22"/>
                <w:szCs w:val="19"/>
              </w:rPr>
              <w:t xml:space="preserve">/ </w:t>
            </w:r>
            <w:r>
              <w:rPr>
                <w:b/>
                <w:bCs/>
                <w:sz w:val="22"/>
                <w:szCs w:val="19"/>
              </w:rPr>
              <w:t>1</w:t>
            </w:r>
          </w:p>
        </w:tc>
        <w:tc>
          <w:tcPr>
            <w:tcW w:w="3868" w:type="dxa"/>
            <w:shd w:val="clear" w:color="auto" w:fill="auto"/>
          </w:tcPr>
          <w:p w14:paraId="6850D5F1" w14:textId="77777777" w:rsidR="00CD2773" w:rsidRPr="006C3F9D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D731BB">
              <w:t>Consistently uses credible information from reliable sources of literature to support information that is not considered common knowledge</w:t>
            </w:r>
            <w:r>
              <w:t>.</w:t>
            </w:r>
          </w:p>
          <w:p w14:paraId="002C61C3" w14:textId="77777777" w:rsidR="00CD2773" w:rsidRPr="00BF6B98" w:rsidRDefault="00CD2773" w:rsidP="00B66378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>
              <w:t>LITERATURE CITED page and c</w:t>
            </w:r>
            <w:r w:rsidRPr="00D731BB">
              <w:t>itation(s) is/are accurately formatted using CADH’s Vancouver referencing style both in-text and on the LITERATURE CITED page (no</w:t>
            </w:r>
            <w:r>
              <w:t xml:space="preserve"> more than 1-2 minor</w:t>
            </w:r>
            <w:r w:rsidRPr="00D731BB">
              <w:t xml:space="preserve"> errors).</w:t>
            </w:r>
          </w:p>
        </w:tc>
        <w:tc>
          <w:tcPr>
            <w:tcW w:w="3869" w:type="dxa"/>
            <w:shd w:val="clear" w:color="auto" w:fill="auto"/>
          </w:tcPr>
          <w:p w14:paraId="41AF15D6" w14:textId="77777777" w:rsidR="00CD2773" w:rsidRPr="00317C99" w:rsidRDefault="00CD2773" w:rsidP="00B66378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341216">
              <w:rPr>
                <w:rFonts w:eastAsia="Times New Roman"/>
                <w:color w:val="auto"/>
                <w:sz w:val="20"/>
                <w:szCs w:val="20"/>
                <w:lang w:val="en-US"/>
              </w:rPr>
              <w:t>Information that is not common knowledge is cited, but information is often not credible and/or sources are frequently not reliable.</w:t>
            </w:r>
          </w:p>
          <w:p w14:paraId="74E57BB9" w14:textId="77777777" w:rsidR="00CD2773" w:rsidRPr="00317C99" w:rsidRDefault="00CD2773" w:rsidP="00B66378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E0DF4">
              <w:rPr>
                <w:sz w:val="20"/>
                <w:szCs w:val="20"/>
              </w:rPr>
              <w:t>Fair use of CADH Vancouver style, although some elements were missing or incorrect, either in-text or on the LITERATURE CITED page (</w:t>
            </w:r>
            <w:r>
              <w:rPr>
                <w:sz w:val="20"/>
                <w:szCs w:val="20"/>
              </w:rPr>
              <w:t>multiple errors</w:t>
            </w:r>
            <w:r w:rsidRPr="000E0DF4">
              <w:rPr>
                <w:sz w:val="20"/>
                <w:szCs w:val="20"/>
              </w:rPr>
              <w:t>).</w:t>
            </w:r>
          </w:p>
        </w:tc>
        <w:tc>
          <w:tcPr>
            <w:tcW w:w="993" w:type="dxa"/>
            <w:shd w:val="clear" w:color="auto" w:fill="auto"/>
          </w:tcPr>
          <w:p w14:paraId="22C84D4A" w14:textId="093A93A0" w:rsidR="00CD2773" w:rsidRPr="00E304DE" w:rsidRDefault="00F81B8C" w:rsidP="00B66378">
            <w:r>
              <w:t>1</w:t>
            </w:r>
          </w:p>
        </w:tc>
      </w:tr>
      <w:tr w:rsidR="00CD2773" w14:paraId="03F5F574" w14:textId="77777777" w:rsidTr="00B66378">
        <w:tc>
          <w:tcPr>
            <w:tcW w:w="1902" w:type="dxa"/>
            <w:vMerge/>
            <w:shd w:val="clear" w:color="auto" w:fill="auto"/>
            <w:vAlign w:val="center"/>
          </w:tcPr>
          <w:p w14:paraId="1E0C2FC5" w14:textId="77777777" w:rsidR="00CD2773" w:rsidRDefault="00CD2773" w:rsidP="00B66378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</w:p>
        </w:tc>
        <w:tc>
          <w:tcPr>
            <w:tcW w:w="7737" w:type="dxa"/>
            <w:gridSpan w:val="2"/>
            <w:shd w:val="clear" w:color="auto" w:fill="D9D9D9" w:themeFill="background1" w:themeFillShade="D9"/>
          </w:tcPr>
          <w:p w14:paraId="54914E24" w14:textId="77777777" w:rsidR="00CD2773" w:rsidRPr="00E5111D" w:rsidRDefault="00CD2773" w:rsidP="00B66378">
            <w:pPr>
              <w:pStyle w:val="Default"/>
              <w:ind w:left="170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5111D">
              <w:rPr>
                <w:rFonts w:ascii="Times" w:hAnsi="Times" w:cs="Times"/>
                <w:b/>
                <w:bCs/>
                <w:i/>
                <w:iCs/>
                <w:color w:val="auto"/>
                <w:sz w:val="20"/>
                <w:szCs w:val="20"/>
              </w:rPr>
              <w:t xml:space="preserve">** NOTE: Including plagiarized content will result in grade penalties and/or other consequences as outlined in the </w:t>
            </w:r>
            <w:r>
              <w:rPr>
                <w:rFonts w:ascii="Times" w:hAnsi="Times" w:cs="Times"/>
                <w:b/>
                <w:bCs/>
                <w:i/>
                <w:iCs/>
                <w:color w:val="auto"/>
                <w:sz w:val="20"/>
                <w:szCs w:val="20"/>
              </w:rPr>
              <w:t xml:space="preserve">CADH </w:t>
            </w:r>
            <w:r w:rsidRPr="00E5111D">
              <w:rPr>
                <w:rFonts w:ascii="Times" w:hAnsi="Times" w:cs="Times"/>
                <w:b/>
                <w:bCs/>
                <w:i/>
                <w:iCs/>
                <w:color w:val="auto"/>
                <w:sz w:val="20"/>
                <w:szCs w:val="20"/>
              </w:rPr>
              <w:t>Student Handbook.</w:t>
            </w:r>
          </w:p>
        </w:tc>
        <w:tc>
          <w:tcPr>
            <w:tcW w:w="993" w:type="dxa"/>
            <w:shd w:val="clear" w:color="auto" w:fill="auto"/>
          </w:tcPr>
          <w:p w14:paraId="656F900B" w14:textId="77777777" w:rsidR="00CD2773" w:rsidRPr="00E304DE" w:rsidRDefault="00CD2773" w:rsidP="00B66378"/>
        </w:tc>
      </w:tr>
      <w:tr w:rsidR="00CD2773" w14:paraId="4160C092" w14:textId="77777777" w:rsidTr="00B66378">
        <w:trPr>
          <w:trHeight w:val="567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0DD6157F" w14:textId="77777777" w:rsidR="00CD2773" w:rsidRPr="009C2217" w:rsidRDefault="00CD2773" w:rsidP="00B6637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9035F02" w14:textId="627265DB" w:rsidR="00CD2773" w:rsidRPr="0018301D" w:rsidRDefault="00F81B8C" w:rsidP="00B663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D2773" w:rsidRPr="0018301D">
              <w:rPr>
                <w:b/>
                <w:sz w:val="22"/>
                <w:szCs w:val="22"/>
              </w:rPr>
              <w:t xml:space="preserve"> / </w:t>
            </w:r>
            <w:r w:rsidR="00CD2773">
              <w:rPr>
                <w:b/>
                <w:sz w:val="22"/>
                <w:szCs w:val="22"/>
              </w:rPr>
              <w:t>5</w:t>
            </w:r>
          </w:p>
        </w:tc>
      </w:tr>
    </w:tbl>
    <w:p w14:paraId="4854B5AA" w14:textId="77777777" w:rsidR="00C65FAF" w:rsidRDefault="00C65FAF" w:rsidP="00DA546D"/>
    <w:sectPr w:rsidR="00C65FAF" w:rsidSect="00DA546D">
      <w:pgSz w:w="12240" w:h="15840"/>
      <w:pgMar w:top="22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D47B" w14:textId="77777777" w:rsidR="00DC45DE" w:rsidRDefault="00DC45DE">
      <w:r>
        <w:separator/>
      </w:r>
    </w:p>
  </w:endnote>
  <w:endnote w:type="continuationSeparator" w:id="0">
    <w:p w14:paraId="56B30C2E" w14:textId="77777777" w:rsidR="00DC45DE" w:rsidRDefault="00DC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1812" w14:textId="77777777" w:rsidR="00DC45DE" w:rsidRDefault="00DC45DE">
      <w:r>
        <w:separator/>
      </w:r>
    </w:p>
  </w:footnote>
  <w:footnote w:type="continuationSeparator" w:id="0">
    <w:p w14:paraId="0D8C63C0" w14:textId="77777777" w:rsidR="00DC45DE" w:rsidRDefault="00DC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BCAE" w14:textId="27015D79" w:rsidR="00DB0534" w:rsidRDefault="00DB0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F34"/>
    <w:multiLevelType w:val="hybridMultilevel"/>
    <w:tmpl w:val="7000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750E9"/>
    <w:multiLevelType w:val="hybridMultilevel"/>
    <w:tmpl w:val="A13E7A5A"/>
    <w:lvl w:ilvl="0" w:tplc="1009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" w15:restartNumberingAfterBreak="0">
    <w:nsid w:val="23C74016"/>
    <w:multiLevelType w:val="hybridMultilevel"/>
    <w:tmpl w:val="B8869468"/>
    <w:lvl w:ilvl="0" w:tplc="967C8A6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02700">
    <w:abstractNumId w:val="2"/>
  </w:num>
  <w:num w:numId="2" w16cid:durableId="2097897145">
    <w:abstractNumId w:val="1"/>
  </w:num>
  <w:num w:numId="3" w16cid:durableId="12034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D"/>
    <w:rsid w:val="00042840"/>
    <w:rsid w:val="00061F6B"/>
    <w:rsid w:val="000A1CCF"/>
    <w:rsid w:val="000B55F1"/>
    <w:rsid w:val="000D59DE"/>
    <w:rsid w:val="00103160"/>
    <w:rsid w:val="00112A21"/>
    <w:rsid w:val="00151D0E"/>
    <w:rsid w:val="0016615F"/>
    <w:rsid w:val="001663AC"/>
    <w:rsid w:val="0017116E"/>
    <w:rsid w:val="0018301D"/>
    <w:rsid w:val="00184784"/>
    <w:rsid w:val="00184CE5"/>
    <w:rsid w:val="001A55EC"/>
    <w:rsid w:val="001E27A5"/>
    <w:rsid w:val="001E36F0"/>
    <w:rsid w:val="00241962"/>
    <w:rsid w:val="00244CDD"/>
    <w:rsid w:val="00272FA8"/>
    <w:rsid w:val="0027313B"/>
    <w:rsid w:val="00285ED2"/>
    <w:rsid w:val="00291624"/>
    <w:rsid w:val="0029231E"/>
    <w:rsid w:val="002A33AA"/>
    <w:rsid w:val="002A50EC"/>
    <w:rsid w:val="002A695D"/>
    <w:rsid w:val="002E2AA2"/>
    <w:rsid w:val="002F1DB4"/>
    <w:rsid w:val="002F5265"/>
    <w:rsid w:val="00315CEE"/>
    <w:rsid w:val="0032489C"/>
    <w:rsid w:val="00340374"/>
    <w:rsid w:val="003559D7"/>
    <w:rsid w:val="00355FE8"/>
    <w:rsid w:val="00362706"/>
    <w:rsid w:val="00364EDA"/>
    <w:rsid w:val="003655FA"/>
    <w:rsid w:val="00376346"/>
    <w:rsid w:val="003A7B75"/>
    <w:rsid w:val="003C1492"/>
    <w:rsid w:val="003C3BC2"/>
    <w:rsid w:val="003D1FF9"/>
    <w:rsid w:val="003E0C84"/>
    <w:rsid w:val="003E1887"/>
    <w:rsid w:val="004006AE"/>
    <w:rsid w:val="004122CC"/>
    <w:rsid w:val="00467013"/>
    <w:rsid w:val="00470C4A"/>
    <w:rsid w:val="00475A31"/>
    <w:rsid w:val="004762E5"/>
    <w:rsid w:val="00492F86"/>
    <w:rsid w:val="00493165"/>
    <w:rsid w:val="004A1432"/>
    <w:rsid w:val="004B4448"/>
    <w:rsid w:val="004B56FC"/>
    <w:rsid w:val="004C3000"/>
    <w:rsid w:val="004D4A29"/>
    <w:rsid w:val="004E3B0E"/>
    <w:rsid w:val="00507A09"/>
    <w:rsid w:val="005273F1"/>
    <w:rsid w:val="00532553"/>
    <w:rsid w:val="00540B4F"/>
    <w:rsid w:val="00545BFC"/>
    <w:rsid w:val="00560755"/>
    <w:rsid w:val="005626A8"/>
    <w:rsid w:val="00567793"/>
    <w:rsid w:val="005818C4"/>
    <w:rsid w:val="0058544C"/>
    <w:rsid w:val="005E616E"/>
    <w:rsid w:val="005E6525"/>
    <w:rsid w:val="0061419E"/>
    <w:rsid w:val="0064300D"/>
    <w:rsid w:val="00666E7E"/>
    <w:rsid w:val="00667875"/>
    <w:rsid w:val="006717DD"/>
    <w:rsid w:val="00677974"/>
    <w:rsid w:val="006B0634"/>
    <w:rsid w:val="006D6FCB"/>
    <w:rsid w:val="006E0E33"/>
    <w:rsid w:val="006E1E43"/>
    <w:rsid w:val="006E3E22"/>
    <w:rsid w:val="006F1086"/>
    <w:rsid w:val="0070439E"/>
    <w:rsid w:val="00707451"/>
    <w:rsid w:val="00713B76"/>
    <w:rsid w:val="00726B26"/>
    <w:rsid w:val="00740152"/>
    <w:rsid w:val="007422A8"/>
    <w:rsid w:val="00745076"/>
    <w:rsid w:val="00752CAC"/>
    <w:rsid w:val="00756E88"/>
    <w:rsid w:val="00767641"/>
    <w:rsid w:val="007A2D05"/>
    <w:rsid w:val="007B7236"/>
    <w:rsid w:val="007C388A"/>
    <w:rsid w:val="007F3616"/>
    <w:rsid w:val="008067BA"/>
    <w:rsid w:val="00817155"/>
    <w:rsid w:val="008249C6"/>
    <w:rsid w:val="00840CA9"/>
    <w:rsid w:val="00856B2E"/>
    <w:rsid w:val="00872EF0"/>
    <w:rsid w:val="008A0F4F"/>
    <w:rsid w:val="008A25AF"/>
    <w:rsid w:val="008B613A"/>
    <w:rsid w:val="008B67BB"/>
    <w:rsid w:val="008F011F"/>
    <w:rsid w:val="008F3D0D"/>
    <w:rsid w:val="009102D2"/>
    <w:rsid w:val="00912C3D"/>
    <w:rsid w:val="009167F5"/>
    <w:rsid w:val="00927186"/>
    <w:rsid w:val="009333A7"/>
    <w:rsid w:val="00934982"/>
    <w:rsid w:val="009356ED"/>
    <w:rsid w:val="00955356"/>
    <w:rsid w:val="00977C16"/>
    <w:rsid w:val="009846CC"/>
    <w:rsid w:val="00994F53"/>
    <w:rsid w:val="00997CBE"/>
    <w:rsid w:val="009B408F"/>
    <w:rsid w:val="009E43C3"/>
    <w:rsid w:val="009F099A"/>
    <w:rsid w:val="00A03140"/>
    <w:rsid w:val="00A13B03"/>
    <w:rsid w:val="00A17BAA"/>
    <w:rsid w:val="00A206FA"/>
    <w:rsid w:val="00A275AE"/>
    <w:rsid w:val="00A43B88"/>
    <w:rsid w:val="00A44EEF"/>
    <w:rsid w:val="00A846B5"/>
    <w:rsid w:val="00A84751"/>
    <w:rsid w:val="00A87946"/>
    <w:rsid w:val="00A91EA7"/>
    <w:rsid w:val="00A94010"/>
    <w:rsid w:val="00AB5F02"/>
    <w:rsid w:val="00AB6699"/>
    <w:rsid w:val="00AE52E7"/>
    <w:rsid w:val="00AE59F2"/>
    <w:rsid w:val="00B0583A"/>
    <w:rsid w:val="00B109A5"/>
    <w:rsid w:val="00B3474B"/>
    <w:rsid w:val="00B35BAC"/>
    <w:rsid w:val="00B4718B"/>
    <w:rsid w:val="00B47CC4"/>
    <w:rsid w:val="00B77DF4"/>
    <w:rsid w:val="00B83D22"/>
    <w:rsid w:val="00B9024B"/>
    <w:rsid w:val="00B9498F"/>
    <w:rsid w:val="00B9729C"/>
    <w:rsid w:val="00BA511C"/>
    <w:rsid w:val="00BB6415"/>
    <w:rsid w:val="00BC5835"/>
    <w:rsid w:val="00BD2D66"/>
    <w:rsid w:val="00BE1FBD"/>
    <w:rsid w:val="00BE33CA"/>
    <w:rsid w:val="00BF068E"/>
    <w:rsid w:val="00BF6B98"/>
    <w:rsid w:val="00C02A4C"/>
    <w:rsid w:val="00C51699"/>
    <w:rsid w:val="00C632C7"/>
    <w:rsid w:val="00C644A0"/>
    <w:rsid w:val="00C65FAF"/>
    <w:rsid w:val="00C730E2"/>
    <w:rsid w:val="00C84128"/>
    <w:rsid w:val="00CA3D22"/>
    <w:rsid w:val="00CB451E"/>
    <w:rsid w:val="00CC1BC1"/>
    <w:rsid w:val="00CD2773"/>
    <w:rsid w:val="00CF5EAE"/>
    <w:rsid w:val="00D32B34"/>
    <w:rsid w:val="00D37073"/>
    <w:rsid w:val="00D53BF0"/>
    <w:rsid w:val="00D74038"/>
    <w:rsid w:val="00D7730C"/>
    <w:rsid w:val="00DA0374"/>
    <w:rsid w:val="00DA546D"/>
    <w:rsid w:val="00DB0534"/>
    <w:rsid w:val="00DB4FFC"/>
    <w:rsid w:val="00DB5845"/>
    <w:rsid w:val="00DB753D"/>
    <w:rsid w:val="00DC36D7"/>
    <w:rsid w:val="00DC45DE"/>
    <w:rsid w:val="00DD2991"/>
    <w:rsid w:val="00DD35A9"/>
    <w:rsid w:val="00DE1BF3"/>
    <w:rsid w:val="00DF0BF0"/>
    <w:rsid w:val="00DF3125"/>
    <w:rsid w:val="00E00D98"/>
    <w:rsid w:val="00E3427B"/>
    <w:rsid w:val="00E93313"/>
    <w:rsid w:val="00EB05AB"/>
    <w:rsid w:val="00EC0942"/>
    <w:rsid w:val="00EC3086"/>
    <w:rsid w:val="00EC7045"/>
    <w:rsid w:val="00EC79F8"/>
    <w:rsid w:val="00ED7325"/>
    <w:rsid w:val="00EF18AE"/>
    <w:rsid w:val="00F17BC2"/>
    <w:rsid w:val="00F43725"/>
    <w:rsid w:val="00F44771"/>
    <w:rsid w:val="00F61DED"/>
    <w:rsid w:val="00F634CD"/>
    <w:rsid w:val="00F67DD2"/>
    <w:rsid w:val="00F81B8C"/>
    <w:rsid w:val="00F82336"/>
    <w:rsid w:val="00F8759D"/>
    <w:rsid w:val="00FA0B0B"/>
    <w:rsid w:val="00FA513D"/>
    <w:rsid w:val="00FB21AF"/>
    <w:rsid w:val="00FB7E57"/>
    <w:rsid w:val="00FD1B80"/>
    <w:rsid w:val="00FD5171"/>
    <w:rsid w:val="00FD523A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9B92"/>
  <w15:chartTrackingRefBased/>
  <w15:docId w15:val="{03253DE1-7BF7-4CA2-85C5-78D3561A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4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546D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DA546D"/>
  </w:style>
  <w:style w:type="paragraph" w:styleId="ListParagraph">
    <w:name w:val="List Paragraph"/>
    <w:basedOn w:val="Normal"/>
    <w:link w:val="ListParagraphChar"/>
    <w:uiPriority w:val="34"/>
    <w:qFormat/>
    <w:rsid w:val="00DA546D"/>
    <w:pPr>
      <w:ind w:left="720"/>
    </w:pPr>
  </w:style>
  <w:style w:type="character" w:customStyle="1" w:styleId="ListParagraphChar">
    <w:name w:val="List Paragraph Char"/>
    <w:link w:val="ListParagraph"/>
    <w:uiPriority w:val="34"/>
    <w:rsid w:val="00DA546D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Default">
    <w:name w:val="Default"/>
    <w:rsid w:val="00DA54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074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4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0C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ho.org/wp-content/uploads/2023/07/RegistrantsHandbook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laws/statute/91r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1507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Grater-Nakamura</dc:creator>
  <cp:keywords/>
  <dc:description/>
  <cp:lastModifiedBy>Megan Walbauer (DH Oct 23)</cp:lastModifiedBy>
  <cp:revision>2</cp:revision>
  <dcterms:created xsi:type="dcterms:W3CDTF">2025-01-10T19:39:00Z</dcterms:created>
  <dcterms:modified xsi:type="dcterms:W3CDTF">2025-01-10T19:39:00Z</dcterms:modified>
</cp:coreProperties>
</file>