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F634CD" w14:paraId="05A89BF1" w14:textId="77777777" w:rsidTr="00F57209">
        <w:trPr>
          <w:trHeight w:val="397"/>
        </w:trPr>
        <w:tc>
          <w:tcPr>
            <w:tcW w:w="9923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E0EB1E" w14:textId="099ADA6D" w:rsidR="00F634CD" w:rsidRDefault="00F634CD" w:rsidP="00F63FE4">
            <w:pPr>
              <w:spacing w:line="259" w:lineRule="auto"/>
              <w:rPr>
                <w:rFonts w:eastAsia="Calibri"/>
                <w:b/>
              </w:rPr>
            </w:pPr>
            <w:r w:rsidRPr="00BF6B98">
              <w:rPr>
                <w:rFonts w:eastAsia="Calibri"/>
                <w:b/>
                <w:sz w:val="22"/>
                <w:szCs w:val="22"/>
              </w:rPr>
              <w:t>Name:</w:t>
            </w:r>
            <w:r>
              <w:rPr>
                <w:rFonts w:eastAsia="Calibri"/>
                <w:bCs/>
                <w:sz w:val="22"/>
                <w:szCs w:val="22"/>
              </w:rPr>
              <w:t xml:space="preserve">  </w:t>
            </w:r>
            <w:r w:rsidR="005865C7" w:rsidRPr="007857B8">
              <w:rPr>
                <w:rFonts w:eastAsia="Calibri"/>
                <w:b/>
                <w:sz w:val="22"/>
                <w:szCs w:val="22"/>
              </w:rPr>
              <w:t xml:space="preserve">Megan </w:t>
            </w:r>
            <w:proofErr w:type="spellStart"/>
            <w:r w:rsidR="005865C7" w:rsidRPr="007857B8">
              <w:rPr>
                <w:rFonts w:eastAsia="Calibri"/>
                <w:b/>
                <w:sz w:val="22"/>
                <w:szCs w:val="22"/>
              </w:rPr>
              <w:t>Walbauer</w:t>
            </w:r>
            <w:proofErr w:type="spellEnd"/>
          </w:p>
        </w:tc>
      </w:tr>
      <w:tr w:rsidR="00F634CD" w14:paraId="12D6CFFB" w14:textId="77777777" w:rsidTr="00F63FE4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666705B" w14:textId="451A94DD" w:rsidR="00F634CD" w:rsidRPr="00BF6B98" w:rsidRDefault="00F634CD" w:rsidP="00F63FE4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Level:</w:t>
            </w:r>
            <w:r w:rsidR="005865C7">
              <w:rPr>
                <w:rFonts w:eastAsia="Calibri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567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2F10197" w14:textId="5B7ABF00" w:rsidR="00F634CD" w:rsidRDefault="00F634CD" w:rsidP="00F63FE4">
            <w:pPr>
              <w:spacing w:line="259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Date:</w:t>
            </w:r>
            <w:r w:rsidR="005865C7">
              <w:rPr>
                <w:rFonts w:eastAsia="Calibri"/>
                <w:b/>
                <w:sz w:val="22"/>
                <w:szCs w:val="22"/>
              </w:rPr>
              <w:t xml:space="preserve"> June 21, 2024</w:t>
            </w:r>
            <w:r w:rsidR="00122292">
              <w:rPr>
                <w:rFonts w:eastAsia="Calibri"/>
                <w:b/>
                <w:sz w:val="22"/>
                <w:szCs w:val="22"/>
              </w:rPr>
              <w:t>.</w:t>
            </w:r>
            <w:r w:rsidR="005865C7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</w:tr>
      <w:tr w:rsidR="00AB6699" w:rsidRPr="00567793" w14:paraId="47333F11" w14:textId="77777777" w:rsidTr="00F634CD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30732F50" w14:textId="713A9874" w:rsidR="00AB6699" w:rsidRPr="00BF6B98" w:rsidRDefault="00AB6699" w:rsidP="00F63FE4">
            <w:pPr>
              <w:rPr>
                <w:rFonts w:eastAsia="Calibri"/>
                <w:bCs/>
                <w:sz w:val="22"/>
                <w:szCs w:val="22"/>
              </w:rPr>
            </w:pPr>
            <w:r w:rsidRPr="00BF6B98">
              <w:rPr>
                <w:rFonts w:eastAsia="Calibri"/>
                <w:b/>
                <w:sz w:val="22"/>
                <w:szCs w:val="22"/>
              </w:rPr>
              <w:t>Journal Number:</w:t>
            </w:r>
            <w:r w:rsidR="005865C7">
              <w:rPr>
                <w:rFonts w:eastAsia="Calibri"/>
                <w:b/>
                <w:sz w:val="22"/>
                <w:szCs w:val="22"/>
              </w:rPr>
              <w:t xml:space="preserve"> PLO </w:t>
            </w:r>
            <w:r w:rsidR="002D5107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DEAE3D5" w14:textId="498DBFFE" w:rsidR="00AB6699" w:rsidRPr="00567793" w:rsidRDefault="00AB6699" w:rsidP="00F63FE4">
            <w:pPr>
              <w:rPr>
                <w:rFonts w:eastAsia="Calibri"/>
                <w:bCs/>
                <w:sz w:val="22"/>
                <w:szCs w:val="22"/>
              </w:rPr>
            </w:pPr>
            <w:r w:rsidRPr="00BF6B98">
              <w:rPr>
                <w:rFonts w:eastAsia="Calibri"/>
                <w:b/>
                <w:sz w:val="22"/>
                <w:szCs w:val="22"/>
              </w:rPr>
              <w:t>Competency:</w:t>
            </w:r>
            <w:r w:rsidR="005865C7">
              <w:rPr>
                <w:rFonts w:eastAsia="Calibri"/>
                <w:b/>
                <w:sz w:val="22"/>
                <w:szCs w:val="22"/>
              </w:rPr>
              <w:t xml:space="preserve"> Critical </w:t>
            </w:r>
            <w:r w:rsidR="00122292">
              <w:rPr>
                <w:rFonts w:eastAsia="Calibri"/>
                <w:b/>
                <w:sz w:val="22"/>
                <w:szCs w:val="22"/>
              </w:rPr>
              <w:t>T</w:t>
            </w:r>
            <w:r w:rsidR="005865C7">
              <w:rPr>
                <w:rFonts w:eastAsia="Calibri"/>
                <w:b/>
                <w:sz w:val="22"/>
                <w:szCs w:val="22"/>
              </w:rPr>
              <w:t xml:space="preserve">hinker </w:t>
            </w:r>
          </w:p>
        </w:tc>
      </w:tr>
    </w:tbl>
    <w:p w14:paraId="705290B9" w14:textId="77777777" w:rsidR="00DA546D" w:rsidRPr="00DB4FFC" w:rsidRDefault="00DA546D" w:rsidP="00DB4FFC">
      <w:pPr>
        <w:pBdr>
          <w:bottom w:val="single" w:sz="6" w:space="1" w:color="auto"/>
        </w:pBdr>
        <w:spacing w:line="480" w:lineRule="auto"/>
        <w:rPr>
          <w:sz w:val="24"/>
          <w:szCs w:val="24"/>
        </w:rPr>
      </w:pPr>
      <w:r w:rsidRPr="00DB4FFC">
        <w:rPr>
          <w:sz w:val="24"/>
          <w:szCs w:val="24"/>
        </w:rPr>
        <w:t xml:space="preserve"> </w:t>
      </w:r>
    </w:p>
    <w:p w14:paraId="12F91314" w14:textId="77777777" w:rsidR="003559D7" w:rsidRDefault="003559D7" w:rsidP="00DB4FFC">
      <w:pPr>
        <w:spacing w:line="480" w:lineRule="auto"/>
        <w:rPr>
          <w:sz w:val="24"/>
          <w:szCs w:val="24"/>
        </w:rPr>
      </w:pPr>
    </w:p>
    <w:p w14:paraId="7964DCAD" w14:textId="77777777" w:rsidR="003559D7" w:rsidRDefault="003559D7" w:rsidP="00DB4FF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COPY and PASTE the Program Outcome AND the DIRECTIONS and ALLLLLLL the QUESTION(S) HERE.  Write your responses UNDER the COPIED / PASTED information.</w:t>
      </w:r>
    </w:p>
    <w:p w14:paraId="3D131AD7" w14:textId="2CE57276" w:rsidR="003559D7" w:rsidRDefault="003559D7" w:rsidP="00DB4FF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Use the questions as Headings. </w:t>
      </w:r>
    </w:p>
    <w:p w14:paraId="3A39C896" w14:textId="5790CAC4" w:rsidR="003559D7" w:rsidRPr="005865C7" w:rsidRDefault="005865C7" w:rsidP="00DB4FFC">
      <w:pPr>
        <w:spacing w:line="480" w:lineRule="auto"/>
        <w:rPr>
          <w:sz w:val="24"/>
          <w:szCs w:val="24"/>
        </w:rPr>
      </w:pPr>
      <w:r w:rsidRPr="005865C7">
        <w:rPr>
          <w:rStyle w:val="textlayer--absolute"/>
          <w:sz w:val="24"/>
          <w:szCs w:val="24"/>
        </w:rPr>
        <w:t>Journal 3 - Critical Thinker</w:t>
      </w:r>
      <w:r w:rsidRPr="005865C7">
        <w:rPr>
          <w:color w:val="000000"/>
          <w:sz w:val="24"/>
          <w:szCs w:val="24"/>
        </w:rPr>
        <w:br/>
      </w:r>
      <w:r w:rsidRPr="005865C7">
        <w:rPr>
          <w:rStyle w:val="textlayer--absolute"/>
          <w:sz w:val="24"/>
          <w:szCs w:val="24"/>
        </w:rPr>
        <w:t>To prepare graduates who demonstrate critical thinking by determining credible information and</w:t>
      </w:r>
      <w:r w:rsidRPr="005865C7">
        <w:rPr>
          <w:color w:val="000000"/>
          <w:sz w:val="24"/>
          <w:szCs w:val="24"/>
        </w:rPr>
        <w:br/>
      </w:r>
      <w:r w:rsidRPr="005865C7">
        <w:rPr>
          <w:rStyle w:val="textlayer--absolute"/>
          <w:sz w:val="24"/>
          <w:szCs w:val="24"/>
        </w:rPr>
        <w:t>integrating knowledge using an evidence-based approach to deliver the dental hygiene process of care.</w:t>
      </w:r>
      <w:r w:rsidRPr="005865C7">
        <w:rPr>
          <w:color w:val="000000"/>
          <w:sz w:val="24"/>
          <w:szCs w:val="24"/>
        </w:rPr>
        <w:br/>
      </w:r>
      <w:r w:rsidRPr="005865C7">
        <w:rPr>
          <w:rStyle w:val="textlayer--absolute"/>
          <w:sz w:val="24"/>
          <w:szCs w:val="24"/>
        </w:rPr>
        <w:t>• Read the following CDHO publication Best Practice for Initiating Dental Hygiene Care.</w:t>
      </w:r>
      <w:r w:rsidRPr="005865C7">
        <w:rPr>
          <w:color w:val="000000"/>
          <w:sz w:val="24"/>
          <w:szCs w:val="24"/>
        </w:rPr>
        <w:br/>
      </w:r>
      <w:r w:rsidRPr="005865C7">
        <w:rPr>
          <w:rStyle w:val="textlayer--absolute"/>
          <w:sz w:val="24"/>
          <w:szCs w:val="24"/>
        </w:rPr>
        <w:t>- Identify one (1) of the conditions that you investigated within this resource.</w:t>
      </w:r>
      <w:r w:rsidRPr="005865C7">
        <w:rPr>
          <w:color w:val="000000"/>
          <w:sz w:val="24"/>
          <w:szCs w:val="24"/>
        </w:rPr>
        <w:br/>
      </w:r>
      <w:r w:rsidRPr="005865C7">
        <w:rPr>
          <w:rStyle w:val="textlayer--absolute"/>
          <w:sz w:val="24"/>
          <w:szCs w:val="24"/>
        </w:rPr>
        <w:t>- Then, describe how you have/would use it to help guide you in the provision of care to your</w:t>
      </w:r>
      <w:r w:rsidRPr="005865C7">
        <w:rPr>
          <w:color w:val="000000"/>
          <w:sz w:val="24"/>
          <w:szCs w:val="24"/>
        </w:rPr>
        <w:br/>
      </w:r>
      <w:r w:rsidRPr="005865C7">
        <w:rPr>
          <w:rStyle w:val="textlayer--absolute"/>
          <w:sz w:val="24"/>
          <w:szCs w:val="24"/>
        </w:rPr>
        <w:t>clients.</w:t>
      </w:r>
      <w:r w:rsidRPr="005865C7">
        <w:rPr>
          <w:color w:val="000000"/>
          <w:sz w:val="24"/>
          <w:szCs w:val="24"/>
        </w:rPr>
        <w:br/>
      </w:r>
      <w:r w:rsidRPr="005865C7">
        <w:rPr>
          <w:rStyle w:val="textlayer--absolute"/>
          <w:sz w:val="24"/>
          <w:szCs w:val="24"/>
        </w:rPr>
        <w:t>• If repeating DH 201: Investigate new equipment or technology that can be used in clinical dental</w:t>
      </w:r>
      <w:r w:rsidRPr="005865C7">
        <w:rPr>
          <w:color w:val="000000"/>
          <w:sz w:val="24"/>
          <w:szCs w:val="24"/>
        </w:rPr>
        <w:br/>
      </w:r>
      <w:r w:rsidRPr="005865C7">
        <w:rPr>
          <w:rStyle w:val="textlayer--absolute"/>
          <w:sz w:val="24"/>
          <w:szCs w:val="24"/>
        </w:rPr>
        <w:t>hygiene practice. Describe this equipment or technology and outline how you would/did use this in</w:t>
      </w:r>
      <w:r w:rsidRPr="005865C7">
        <w:rPr>
          <w:color w:val="000000"/>
          <w:sz w:val="24"/>
          <w:szCs w:val="24"/>
        </w:rPr>
        <w:br/>
      </w:r>
      <w:r w:rsidRPr="005865C7">
        <w:rPr>
          <w:rStyle w:val="textlayer--absolute"/>
          <w:sz w:val="24"/>
          <w:szCs w:val="24"/>
        </w:rPr>
        <w:t>your practice.</w:t>
      </w:r>
    </w:p>
    <w:p w14:paraId="2C659DB0" w14:textId="77777777" w:rsidR="003559D7" w:rsidRDefault="003559D7" w:rsidP="00DB4FFC">
      <w:pPr>
        <w:spacing w:line="480" w:lineRule="auto"/>
        <w:rPr>
          <w:sz w:val="24"/>
          <w:szCs w:val="24"/>
        </w:rPr>
      </w:pPr>
    </w:p>
    <w:p w14:paraId="4A86CC86" w14:textId="77777777" w:rsidR="003559D7" w:rsidRDefault="003559D7" w:rsidP="00DB4FFC">
      <w:pPr>
        <w:spacing w:line="480" w:lineRule="auto"/>
        <w:rPr>
          <w:sz w:val="24"/>
          <w:szCs w:val="24"/>
        </w:rPr>
      </w:pPr>
    </w:p>
    <w:p w14:paraId="3B620124" w14:textId="29CF545F" w:rsidR="007857B8" w:rsidRDefault="007857B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94A0A4F" w14:textId="77777777" w:rsidR="009F16F6" w:rsidRDefault="009F16F6" w:rsidP="00326F5C">
      <w:pPr>
        <w:spacing w:after="200" w:line="480" w:lineRule="auto"/>
        <w:rPr>
          <w:sz w:val="24"/>
          <w:szCs w:val="24"/>
        </w:rPr>
      </w:pPr>
    </w:p>
    <w:p w14:paraId="35C02EA1" w14:textId="2C12B9AC" w:rsidR="002D5107" w:rsidRDefault="00D1025E" w:rsidP="002D5107">
      <w:pPr>
        <w:spacing w:after="20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As a dental hygiene student, the importance to critically think is </w:t>
      </w:r>
      <w:r w:rsidR="00047BC5">
        <w:rPr>
          <w:sz w:val="24"/>
          <w:szCs w:val="24"/>
        </w:rPr>
        <w:t xml:space="preserve">necessary for providing clients with </w:t>
      </w:r>
      <w:r w:rsidR="00420367">
        <w:rPr>
          <w:sz w:val="24"/>
          <w:szCs w:val="24"/>
        </w:rPr>
        <w:t>great care. Critical thinking must be implemented into the dental hygiene process of care</w:t>
      </w:r>
      <w:r w:rsidR="00691524">
        <w:rPr>
          <w:sz w:val="24"/>
          <w:szCs w:val="24"/>
        </w:rPr>
        <w:t xml:space="preserve">, </w:t>
      </w:r>
      <w:r w:rsidR="00280710">
        <w:rPr>
          <w:sz w:val="24"/>
          <w:szCs w:val="24"/>
        </w:rPr>
        <w:t xml:space="preserve">that is </w:t>
      </w:r>
      <w:r w:rsidR="00691524">
        <w:rPr>
          <w:sz w:val="24"/>
          <w:szCs w:val="24"/>
        </w:rPr>
        <w:t>the ADPIE</w:t>
      </w:r>
      <w:r w:rsidR="009D52EF">
        <w:rPr>
          <w:sz w:val="24"/>
          <w:szCs w:val="24"/>
        </w:rPr>
        <w:t xml:space="preserve">D </w:t>
      </w:r>
      <w:r w:rsidR="00691524">
        <w:rPr>
          <w:sz w:val="24"/>
          <w:szCs w:val="24"/>
        </w:rPr>
        <w:t xml:space="preserve">model. </w:t>
      </w:r>
      <w:r w:rsidR="0007307B">
        <w:rPr>
          <w:sz w:val="24"/>
          <w:szCs w:val="24"/>
        </w:rPr>
        <w:t>The i</w:t>
      </w:r>
      <w:r w:rsidR="00691524">
        <w:rPr>
          <w:sz w:val="24"/>
          <w:szCs w:val="24"/>
        </w:rPr>
        <w:t xml:space="preserve">nitial assessment </w:t>
      </w:r>
      <w:r w:rsidR="003F5A64">
        <w:rPr>
          <w:sz w:val="24"/>
          <w:szCs w:val="24"/>
        </w:rPr>
        <w:t xml:space="preserve">is </w:t>
      </w:r>
      <w:r w:rsidR="00691524">
        <w:rPr>
          <w:sz w:val="24"/>
          <w:szCs w:val="24"/>
        </w:rPr>
        <w:t xml:space="preserve">the gateway to </w:t>
      </w:r>
      <w:r w:rsidR="0007307B">
        <w:rPr>
          <w:sz w:val="24"/>
          <w:szCs w:val="24"/>
        </w:rPr>
        <w:t xml:space="preserve">developing care </w:t>
      </w:r>
      <w:r w:rsidR="00ED3932">
        <w:rPr>
          <w:sz w:val="24"/>
          <w:szCs w:val="24"/>
        </w:rPr>
        <w:t xml:space="preserve">to </w:t>
      </w:r>
      <w:r w:rsidR="0007307B">
        <w:rPr>
          <w:sz w:val="24"/>
          <w:szCs w:val="24"/>
        </w:rPr>
        <w:t>a client. I have chosen infective endocarditis to research</w:t>
      </w:r>
      <w:r w:rsidR="00F76443">
        <w:rPr>
          <w:sz w:val="24"/>
          <w:szCs w:val="24"/>
        </w:rPr>
        <w:t>,</w:t>
      </w:r>
      <w:r w:rsidR="0007307B">
        <w:rPr>
          <w:sz w:val="24"/>
          <w:szCs w:val="24"/>
        </w:rPr>
        <w:t xml:space="preserve"> </w:t>
      </w:r>
      <w:r w:rsidR="00295B84">
        <w:rPr>
          <w:sz w:val="24"/>
          <w:szCs w:val="24"/>
        </w:rPr>
        <w:t>provide information on</w:t>
      </w:r>
      <w:r w:rsidR="00827596">
        <w:rPr>
          <w:sz w:val="24"/>
          <w:szCs w:val="24"/>
        </w:rPr>
        <w:t xml:space="preserve"> and </w:t>
      </w:r>
      <w:r w:rsidR="00F76443">
        <w:rPr>
          <w:sz w:val="24"/>
          <w:szCs w:val="24"/>
        </w:rPr>
        <w:t>determine how this condition would be implemented into the dental hygiene process of care</w:t>
      </w:r>
      <w:r w:rsidR="00295B84">
        <w:rPr>
          <w:sz w:val="24"/>
          <w:szCs w:val="24"/>
        </w:rPr>
        <w:t xml:space="preserve">. </w:t>
      </w:r>
    </w:p>
    <w:p w14:paraId="43E4A5FA" w14:textId="73B84194" w:rsidR="002D5107" w:rsidRPr="002D5107" w:rsidRDefault="002D5107" w:rsidP="00326F5C">
      <w:pPr>
        <w:spacing w:after="200" w:line="480" w:lineRule="auto"/>
        <w:rPr>
          <w:b/>
          <w:bCs/>
          <w:sz w:val="24"/>
          <w:szCs w:val="24"/>
        </w:rPr>
      </w:pPr>
      <w:r w:rsidRPr="00080713">
        <w:rPr>
          <w:b/>
          <w:bCs/>
          <w:sz w:val="24"/>
          <w:szCs w:val="24"/>
        </w:rPr>
        <w:t>What is Infective endocarditis</w:t>
      </w:r>
      <w:r w:rsidR="001A0B8C">
        <w:rPr>
          <w:b/>
          <w:bCs/>
          <w:sz w:val="24"/>
          <w:szCs w:val="24"/>
        </w:rPr>
        <w:t>?</w:t>
      </w:r>
    </w:p>
    <w:p w14:paraId="50C5292F" w14:textId="48FB09B4" w:rsidR="00691524" w:rsidRDefault="00295B84" w:rsidP="002D5107">
      <w:pPr>
        <w:spacing w:after="200"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Infective endocarditis is a potentially </w:t>
      </w:r>
      <w:r w:rsidR="00FC74CA">
        <w:rPr>
          <w:sz w:val="24"/>
          <w:szCs w:val="24"/>
        </w:rPr>
        <w:t>life-threatening</w:t>
      </w:r>
      <w:r>
        <w:rPr>
          <w:sz w:val="24"/>
          <w:szCs w:val="24"/>
        </w:rPr>
        <w:t xml:space="preserve"> condition, </w:t>
      </w:r>
      <w:r w:rsidR="0090238E">
        <w:rPr>
          <w:sz w:val="24"/>
          <w:szCs w:val="24"/>
        </w:rPr>
        <w:t xml:space="preserve">that is caused </w:t>
      </w:r>
      <w:r w:rsidR="00ED3932">
        <w:rPr>
          <w:sz w:val="24"/>
          <w:szCs w:val="24"/>
        </w:rPr>
        <w:t xml:space="preserve">by </w:t>
      </w:r>
      <w:r w:rsidR="0090238E">
        <w:rPr>
          <w:sz w:val="24"/>
          <w:szCs w:val="24"/>
        </w:rPr>
        <w:t>bacteria fro</w:t>
      </w:r>
      <w:r w:rsidR="001018C8">
        <w:rPr>
          <w:sz w:val="24"/>
          <w:szCs w:val="24"/>
        </w:rPr>
        <w:t xml:space="preserve">m other parts of the body including the mouth </w:t>
      </w:r>
      <w:r w:rsidR="00FB44CE">
        <w:rPr>
          <w:sz w:val="24"/>
          <w:szCs w:val="24"/>
        </w:rPr>
        <w:t xml:space="preserve">and </w:t>
      </w:r>
      <w:r w:rsidR="00ED3932">
        <w:rPr>
          <w:sz w:val="24"/>
          <w:szCs w:val="24"/>
        </w:rPr>
        <w:t>is</w:t>
      </w:r>
      <w:r w:rsidR="001018C8">
        <w:rPr>
          <w:sz w:val="24"/>
          <w:szCs w:val="24"/>
        </w:rPr>
        <w:t xml:space="preserve"> transported to the blood </w:t>
      </w:r>
      <w:r w:rsidR="00CB1632">
        <w:rPr>
          <w:sz w:val="24"/>
          <w:szCs w:val="24"/>
        </w:rPr>
        <w:t>stream (</w:t>
      </w:r>
      <w:r w:rsidR="00180EA5">
        <w:rPr>
          <w:sz w:val="24"/>
          <w:szCs w:val="24"/>
        </w:rPr>
        <w:t>Cleveland</w:t>
      </w:r>
      <w:r w:rsidR="00B8557D">
        <w:rPr>
          <w:sz w:val="24"/>
          <w:szCs w:val="24"/>
        </w:rPr>
        <w:t xml:space="preserve"> </w:t>
      </w:r>
      <w:r w:rsidR="00E05C5A">
        <w:rPr>
          <w:sz w:val="24"/>
          <w:szCs w:val="24"/>
        </w:rPr>
        <w:t>C</w:t>
      </w:r>
      <w:r w:rsidR="00B8557D">
        <w:rPr>
          <w:sz w:val="24"/>
          <w:szCs w:val="24"/>
        </w:rPr>
        <w:t>linic</w:t>
      </w:r>
      <w:r w:rsidR="00B95E48">
        <w:rPr>
          <w:sz w:val="24"/>
          <w:szCs w:val="24"/>
        </w:rPr>
        <w:t xml:space="preserve"> 2022</w:t>
      </w:r>
      <w:r w:rsidR="00B8557D">
        <w:rPr>
          <w:sz w:val="24"/>
          <w:szCs w:val="24"/>
        </w:rPr>
        <w:t>)</w:t>
      </w:r>
      <w:r w:rsidR="00CB1632">
        <w:rPr>
          <w:sz w:val="24"/>
          <w:szCs w:val="24"/>
        </w:rPr>
        <w:t xml:space="preserve">. </w:t>
      </w:r>
      <w:r w:rsidR="001018C8">
        <w:rPr>
          <w:sz w:val="24"/>
          <w:szCs w:val="24"/>
        </w:rPr>
        <w:t>From the blood stream</w:t>
      </w:r>
      <w:r w:rsidR="003A5950">
        <w:rPr>
          <w:sz w:val="24"/>
          <w:szCs w:val="24"/>
        </w:rPr>
        <w:t>,</w:t>
      </w:r>
      <w:r w:rsidR="001018C8">
        <w:rPr>
          <w:sz w:val="24"/>
          <w:szCs w:val="24"/>
        </w:rPr>
        <w:t xml:space="preserve"> the bacteria</w:t>
      </w:r>
      <w:r w:rsidR="003A5950">
        <w:rPr>
          <w:sz w:val="24"/>
          <w:szCs w:val="24"/>
        </w:rPr>
        <w:t xml:space="preserve"> </w:t>
      </w:r>
      <w:r w:rsidR="00FB44CE">
        <w:rPr>
          <w:sz w:val="24"/>
          <w:szCs w:val="24"/>
        </w:rPr>
        <w:t>can travel to the heart</w:t>
      </w:r>
      <w:r w:rsidR="00D53FDC">
        <w:rPr>
          <w:sz w:val="24"/>
          <w:szCs w:val="24"/>
        </w:rPr>
        <w:t xml:space="preserve"> and </w:t>
      </w:r>
      <w:r w:rsidR="00FC74CA">
        <w:rPr>
          <w:sz w:val="24"/>
          <w:szCs w:val="24"/>
        </w:rPr>
        <w:t>cause inflammation of the heart valves</w:t>
      </w:r>
      <w:r w:rsidR="00C5343D">
        <w:rPr>
          <w:sz w:val="24"/>
          <w:szCs w:val="24"/>
        </w:rPr>
        <w:t xml:space="preserve">, </w:t>
      </w:r>
      <w:r w:rsidR="00D53FDC">
        <w:rPr>
          <w:sz w:val="24"/>
          <w:szCs w:val="24"/>
        </w:rPr>
        <w:t>th</w:t>
      </w:r>
      <w:r w:rsidR="00341E05">
        <w:rPr>
          <w:sz w:val="24"/>
          <w:szCs w:val="24"/>
        </w:rPr>
        <w:t xml:space="preserve">e issue </w:t>
      </w:r>
      <w:r w:rsidR="00D53FDC">
        <w:rPr>
          <w:sz w:val="24"/>
          <w:szCs w:val="24"/>
        </w:rPr>
        <w:t>result</w:t>
      </w:r>
      <w:r w:rsidR="00341E05">
        <w:rPr>
          <w:sz w:val="24"/>
          <w:szCs w:val="24"/>
        </w:rPr>
        <w:t>s</w:t>
      </w:r>
      <w:r w:rsidR="00D53FDC">
        <w:rPr>
          <w:sz w:val="24"/>
          <w:szCs w:val="24"/>
        </w:rPr>
        <w:t xml:space="preserve"> in</w:t>
      </w:r>
      <w:r w:rsidR="00C5343D">
        <w:rPr>
          <w:sz w:val="24"/>
          <w:szCs w:val="24"/>
        </w:rPr>
        <w:t xml:space="preserve"> potential des</w:t>
      </w:r>
      <w:r w:rsidR="00BD243D">
        <w:rPr>
          <w:sz w:val="24"/>
          <w:szCs w:val="24"/>
        </w:rPr>
        <w:t xml:space="preserve">truction through </w:t>
      </w:r>
      <w:r w:rsidR="00D53FDC">
        <w:rPr>
          <w:sz w:val="24"/>
          <w:szCs w:val="24"/>
        </w:rPr>
        <w:t xml:space="preserve">the </w:t>
      </w:r>
      <w:r w:rsidR="00BD243D">
        <w:rPr>
          <w:sz w:val="24"/>
          <w:szCs w:val="24"/>
        </w:rPr>
        <w:t>toxins</w:t>
      </w:r>
      <w:r w:rsidR="00D53FDC">
        <w:rPr>
          <w:sz w:val="24"/>
          <w:szCs w:val="24"/>
        </w:rPr>
        <w:t xml:space="preserve"> </w:t>
      </w:r>
      <w:r w:rsidR="00CB1632">
        <w:rPr>
          <w:sz w:val="24"/>
          <w:szCs w:val="24"/>
        </w:rPr>
        <w:t>released (</w:t>
      </w:r>
      <w:r w:rsidR="00180EA5">
        <w:rPr>
          <w:sz w:val="24"/>
          <w:szCs w:val="24"/>
        </w:rPr>
        <w:t>Cleveland</w:t>
      </w:r>
      <w:r w:rsidR="00B8557D">
        <w:rPr>
          <w:sz w:val="24"/>
          <w:szCs w:val="24"/>
        </w:rPr>
        <w:t xml:space="preserve"> </w:t>
      </w:r>
      <w:r w:rsidR="00E05C5A">
        <w:rPr>
          <w:sz w:val="24"/>
          <w:szCs w:val="24"/>
        </w:rPr>
        <w:t>C</w:t>
      </w:r>
      <w:r w:rsidR="00B8557D">
        <w:rPr>
          <w:sz w:val="24"/>
          <w:szCs w:val="24"/>
        </w:rPr>
        <w:t>linic</w:t>
      </w:r>
      <w:r w:rsidR="00B95E48">
        <w:rPr>
          <w:sz w:val="24"/>
          <w:szCs w:val="24"/>
        </w:rPr>
        <w:t xml:space="preserve"> 2022</w:t>
      </w:r>
      <w:r w:rsidR="00B8557D">
        <w:rPr>
          <w:sz w:val="24"/>
          <w:szCs w:val="24"/>
        </w:rPr>
        <w:t>)</w:t>
      </w:r>
      <w:r w:rsidR="00E146DF">
        <w:rPr>
          <w:sz w:val="24"/>
          <w:szCs w:val="24"/>
        </w:rPr>
        <w:t xml:space="preserve">. </w:t>
      </w:r>
      <w:r w:rsidR="0014184F">
        <w:rPr>
          <w:sz w:val="24"/>
          <w:szCs w:val="24"/>
        </w:rPr>
        <w:t>I</w:t>
      </w:r>
      <w:r w:rsidR="009D3DB9">
        <w:rPr>
          <w:sz w:val="24"/>
          <w:szCs w:val="24"/>
        </w:rPr>
        <w:t xml:space="preserve">nfective endocarditis is </w:t>
      </w:r>
      <w:r w:rsidR="00584B1F">
        <w:rPr>
          <w:sz w:val="24"/>
          <w:szCs w:val="24"/>
        </w:rPr>
        <w:t>more prevalent in males than females</w:t>
      </w:r>
      <w:r w:rsidR="00FA72BC">
        <w:rPr>
          <w:sz w:val="24"/>
          <w:szCs w:val="24"/>
        </w:rPr>
        <w:t xml:space="preserve"> (Cleveland Clinic 2022).</w:t>
      </w:r>
      <w:r w:rsidR="00584B1F">
        <w:rPr>
          <w:sz w:val="24"/>
          <w:szCs w:val="24"/>
        </w:rPr>
        <w:t xml:space="preserve"> </w:t>
      </w:r>
      <w:r w:rsidR="00FA72BC">
        <w:rPr>
          <w:sz w:val="24"/>
          <w:szCs w:val="24"/>
        </w:rPr>
        <w:t>T</w:t>
      </w:r>
      <w:r w:rsidR="00584B1F">
        <w:rPr>
          <w:sz w:val="24"/>
          <w:szCs w:val="24"/>
        </w:rPr>
        <w:t xml:space="preserve">hose most at risk include but are not limited to </w:t>
      </w:r>
      <w:r w:rsidR="00756657">
        <w:rPr>
          <w:sz w:val="24"/>
          <w:szCs w:val="24"/>
        </w:rPr>
        <w:t xml:space="preserve">clients with a </w:t>
      </w:r>
      <w:r w:rsidR="00CB1632">
        <w:rPr>
          <w:sz w:val="24"/>
          <w:szCs w:val="24"/>
        </w:rPr>
        <w:t>pacemaker</w:t>
      </w:r>
      <w:r w:rsidR="00756657">
        <w:rPr>
          <w:sz w:val="24"/>
          <w:szCs w:val="24"/>
        </w:rPr>
        <w:t>,</w:t>
      </w:r>
      <w:r w:rsidR="00000549">
        <w:rPr>
          <w:sz w:val="24"/>
          <w:szCs w:val="24"/>
        </w:rPr>
        <w:t xml:space="preserve"> clients with</w:t>
      </w:r>
      <w:r w:rsidR="00756657">
        <w:rPr>
          <w:sz w:val="24"/>
          <w:szCs w:val="24"/>
        </w:rPr>
        <w:t xml:space="preserve"> a suppressed immune system, </w:t>
      </w:r>
      <w:r w:rsidR="00E238D3">
        <w:rPr>
          <w:sz w:val="24"/>
          <w:szCs w:val="24"/>
        </w:rPr>
        <w:t>and clients with a previous valve condition</w:t>
      </w:r>
      <w:r w:rsidR="00CB1632">
        <w:rPr>
          <w:sz w:val="24"/>
          <w:szCs w:val="24"/>
        </w:rPr>
        <w:t xml:space="preserve"> </w:t>
      </w:r>
      <w:r w:rsidR="00E238D3">
        <w:rPr>
          <w:sz w:val="24"/>
          <w:szCs w:val="24"/>
        </w:rPr>
        <w:t>(</w:t>
      </w:r>
      <w:r w:rsidR="00180EA5">
        <w:rPr>
          <w:sz w:val="24"/>
          <w:szCs w:val="24"/>
        </w:rPr>
        <w:t>Cleveland</w:t>
      </w:r>
      <w:r w:rsidR="00E238D3">
        <w:rPr>
          <w:sz w:val="24"/>
          <w:szCs w:val="24"/>
        </w:rPr>
        <w:t xml:space="preserve"> </w:t>
      </w:r>
      <w:r w:rsidR="00E05C5A">
        <w:rPr>
          <w:sz w:val="24"/>
          <w:szCs w:val="24"/>
        </w:rPr>
        <w:t>C</w:t>
      </w:r>
      <w:r w:rsidR="00E238D3">
        <w:rPr>
          <w:sz w:val="24"/>
          <w:szCs w:val="24"/>
        </w:rPr>
        <w:t>linic</w:t>
      </w:r>
      <w:r w:rsidR="00B95E48">
        <w:rPr>
          <w:sz w:val="24"/>
          <w:szCs w:val="24"/>
        </w:rPr>
        <w:t xml:space="preserve"> 2022</w:t>
      </w:r>
      <w:r w:rsidR="00E238D3">
        <w:rPr>
          <w:sz w:val="24"/>
          <w:szCs w:val="24"/>
        </w:rPr>
        <w:t>)</w:t>
      </w:r>
      <w:r w:rsidR="00CB1632">
        <w:rPr>
          <w:sz w:val="24"/>
          <w:szCs w:val="24"/>
        </w:rPr>
        <w:t>.</w:t>
      </w:r>
      <w:r w:rsidR="00E238D3">
        <w:rPr>
          <w:sz w:val="24"/>
          <w:szCs w:val="24"/>
        </w:rPr>
        <w:t xml:space="preserve"> </w:t>
      </w:r>
      <w:r w:rsidR="00BB7C5A">
        <w:rPr>
          <w:sz w:val="24"/>
          <w:szCs w:val="24"/>
        </w:rPr>
        <w:t xml:space="preserve">The symptoms of infective endocarditis are as follows, </w:t>
      </w:r>
      <w:r w:rsidR="00EC41B8">
        <w:rPr>
          <w:sz w:val="24"/>
          <w:szCs w:val="24"/>
        </w:rPr>
        <w:t>fever, skin r</w:t>
      </w:r>
      <w:r w:rsidR="00180EA5">
        <w:rPr>
          <w:sz w:val="24"/>
          <w:szCs w:val="24"/>
        </w:rPr>
        <w:t>a</w:t>
      </w:r>
      <w:r w:rsidR="00EC41B8">
        <w:rPr>
          <w:sz w:val="24"/>
          <w:szCs w:val="24"/>
        </w:rPr>
        <w:t xml:space="preserve">sh, pain, sore throat, sinus drainage, </w:t>
      </w:r>
      <w:r w:rsidR="00CB1632">
        <w:rPr>
          <w:sz w:val="24"/>
          <w:szCs w:val="24"/>
        </w:rPr>
        <w:t>sweats,</w:t>
      </w:r>
      <w:r w:rsidR="00EC41B8">
        <w:rPr>
          <w:sz w:val="24"/>
          <w:szCs w:val="24"/>
        </w:rPr>
        <w:t xml:space="preserve"> or chills and </w:t>
      </w:r>
      <w:r w:rsidR="00347D94">
        <w:rPr>
          <w:sz w:val="24"/>
          <w:szCs w:val="24"/>
        </w:rPr>
        <w:t>more</w:t>
      </w:r>
      <w:r w:rsidR="00CB1632">
        <w:rPr>
          <w:sz w:val="24"/>
          <w:szCs w:val="24"/>
        </w:rPr>
        <w:t xml:space="preserve"> </w:t>
      </w:r>
      <w:r w:rsidR="00347D94">
        <w:rPr>
          <w:sz w:val="24"/>
          <w:szCs w:val="24"/>
        </w:rPr>
        <w:t>(</w:t>
      </w:r>
      <w:r w:rsidR="00180EA5">
        <w:rPr>
          <w:sz w:val="24"/>
          <w:szCs w:val="24"/>
        </w:rPr>
        <w:t>Cleveland</w:t>
      </w:r>
      <w:r w:rsidR="00347D94">
        <w:rPr>
          <w:sz w:val="24"/>
          <w:szCs w:val="24"/>
        </w:rPr>
        <w:t xml:space="preserve"> </w:t>
      </w:r>
      <w:r w:rsidR="00E05C5A">
        <w:rPr>
          <w:sz w:val="24"/>
          <w:szCs w:val="24"/>
        </w:rPr>
        <w:t>C</w:t>
      </w:r>
      <w:r w:rsidR="00347D94">
        <w:rPr>
          <w:sz w:val="24"/>
          <w:szCs w:val="24"/>
        </w:rPr>
        <w:t>linic</w:t>
      </w:r>
      <w:r w:rsidR="00B95E48">
        <w:rPr>
          <w:sz w:val="24"/>
          <w:szCs w:val="24"/>
        </w:rPr>
        <w:t xml:space="preserve"> 2022</w:t>
      </w:r>
      <w:r w:rsidR="00347D94">
        <w:rPr>
          <w:sz w:val="24"/>
          <w:szCs w:val="24"/>
        </w:rPr>
        <w:t>)</w:t>
      </w:r>
      <w:r w:rsidR="00CB1632">
        <w:rPr>
          <w:sz w:val="24"/>
          <w:szCs w:val="24"/>
        </w:rPr>
        <w:t>.</w:t>
      </w:r>
      <w:r w:rsidR="00347D94">
        <w:rPr>
          <w:sz w:val="24"/>
          <w:szCs w:val="24"/>
        </w:rPr>
        <w:t xml:space="preserve"> The relation to infective endocarditis and dentistry is </w:t>
      </w:r>
      <w:r w:rsidR="00546788">
        <w:rPr>
          <w:sz w:val="24"/>
          <w:szCs w:val="24"/>
        </w:rPr>
        <w:t>the potential for infection through the mouth</w:t>
      </w:r>
      <w:r w:rsidR="00CB1632">
        <w:rPr>
          <w:sz w:val="24"/>
          <w:szCs w:val="24"/>
        </w:rPr>
        <w:t xml:space="preserve"> </w:t>
      </w:r>
      <w:r w:rsidR="00546788">
        <w:rPr>
          <w:sz w:val="24"/>
          <w:szCs w:val="24"/>
        </w:rPr>
        <w:t>(</w:t>
      </w:r>
      <w:r w:rsidR="00180EA5">
        <w:rPr>
          <w:sz w:val="24"/>
          <w:szCs w:val="24"/>
        </w:rPr>
        <w:t>Cleveland</w:t>
      </w:r>
      <w:r w:rsidR="00546788">
        <w:rPr>
          <w:sz w:val="24"/>
          <w:szCs w:val="24"/>
        </w:rPr>
        <w:t xml:space="preserve"> </w:t>
      </w:r>
      <w:r w:rsidR="00E05C5A">
        <w:rPr>
          <w:sz w:val="24"/>
          <w:szCs w:val="24"/>
        </w:rPr>
        <w:t>C</w:t>
      </w:r>
      <w:r w:rsidR="00546788">
        <w:rPr>
          <w:sz w:val="24"/>
          <w:szCs w:val="24"/>
        </w:rPr>
        <w:t>linic</w:t>
      </w:r>
      <w:r w:rsidR="00B95E48">
        <w:rPr>
          <w:sz w:val="24"/>
          <w:szCs w:val="24"/>
        </w:rPr>
        <w:t xml:space="preserve"> 2022</w:t>
      </w:r>
      <w:r w:rsidR="00546788">
        <w:rPr>
          <w:sz w:val="24"/>
          <w:szCs w:val="24"/>
        </w:rPr>
        <w:t>)</w:t>
      </w:r>
      <w:r w:rsidR="00CB1632">
        <w:rPr>
          <w:sz w:val="24"/>
          <w:szCs w:val="24"/>
        </w:rPr>
        <w:t xml:space="preserve">. </w:t>
      </w:r>
      <w:r w:rsidR="00662249">
        <w:rPr>
          <w:sz w:val="24"/>
          <w:szCs w:val="24"/>
        </w:rPr>
        <w:t xml:space="preserve">Bacteria can enter the bloodstream during routine procedures such as </w:t>
      </w:r>
      <w:r w:rsidR="00AD626C">
        <w:rPr>
          <w:sz w:val="24"/>
          <w:szCs w:val="24"/>
        </w:rPr>
        <w:t xml:space="preserve">tooth extractions, and more daily </w:t>
      </w:r>
      <w:r w:rsidR="00180EA5">
        <w:rPr>
          <w:sz w:val="24"/>
          <w:szCs w:val="24"/>
        </w:rPr>
        <w:t xml:space="preserve">activities </w:t>
      </w:r>
      <w:r w:rsidR="00AD626C">
        <w:rPr>
          <w:sz w:val="24"/>
          <w:szCs w:val="24"/>
        </w:rPr>
        <w:t>such as brushing</w:t>
      </w:r>
      <w:r w:rsidR="004E78F4">
        <w:rPr>
          <w:sz w:val="24"/>
          <w:szCs w:val="24"/>
        </w:rPr>
        <w:t xml:space="preserve"> your teeth</w:t>
      </w:r>
      <w:r w:rsidR="00CB1632">
        <w:rPr>
          <w:sz w:val="24"/>
          <w:szCs w:val="24"/>
        </w:rPr>
        <w:t xml:space="preserve"> </w:t>
      </w:r>
      <w:r w:rsidR="004E78F4">
        <w:rPr>
          <w:sz w:val="24"/>
          <w:szCs w:val="24"/>
        </w:rPr>
        <w:t>(</w:t>
      </w:r>
      <w:r w:rsidR="00180EA5">
        <w:rPr>
          <w:sz w:val="24"/>
          <w:szCs w:val="24"/>
        </w:rPr>
        <w:t>Cleveland</w:t>
      </w:r>
      <w:r w:rsidR="004E78F4">
        <w:rPr>
          <w:sz w:val="24"/>
          <w:szCs w:val="24"/>
        </w:rPr>
        <w:t xml:space="preserve"> </w:t>
      </w:r>
      <w:r w:rsidR="00E05C5A">
        <w:rPr>
          <w:sz w:val="24"/>
          <w:szCs w:val="24"/>
        </w:rPr>
        <w:t>C</w:t>
      </w:r>
      <w:r w:rsidR="005F13C2">
        <w:rPr>
          <w:sz w:val="24"/>
          <w:szCs w:val="24"/>
        </w:rPr>
        <w:t>linic</w:t>
      </w:r>
      <w:r w:rsidR="00B95E48">
        <w:rPr>
          <w:sz w:val="24"/>
          <w:szCs w:val="24"/>
        </w:rPr>
        <w:t xml:space="preserve"> 2022</w:t>
      </w:r>
      <w:r w:rsidR="005F13C2">
        <w:rPr>
          <w:sz w:val="24"/>
          <w:szCs w:val="24"/>
        </w:rPr>
        <w:t>)</w:t>
      </w:r>
      <w:r w:rsidR="00CB1632">
        <w:rPr>
          <w:sz w:val="24"/>
          <w:szCs w:val="24"/>
        </w:rPr>
        <w:t>.</w:t>
      </w:r>
      <w:r w:rsidR="005F13C2">
        <w:rPr>
          <w:sz w:val="24"/>
          <w:szCs w:val="24"/>
        </w:rPr>
        <w:t xml:space="preserve"> At</w:t>
      </w:r>
      <w:r w:rsidR="00B24CDC">
        <w:rPr>
          <w:sz w:val="24"/>
          <w:szCs w:val="24"/>
        </w:rPr>
        <w:t xml:space="preserve"> a clinic I worked at previously, a client had </w:t>
      </w:r>
      <w:r w:rsidR="0014412D">
        <w:rPr>
          <w:sz w:val="24"/>
          <w:szCs w:val="24"/>
        </w:rPr>
        <w:t>this</w:t>
      </w:r>
      <w:r w:rsidR="00B24CDC">
        <w:rPr>
          <w:sz w:val="24"/>
          <w:szCs w:val="24"/>
        </w:rPr>
        <w:t xml:space="preserve"> underlying condition. The client was completely unaware until</w:t>
      </w:r>
      <w:r w:rsidR="0014412D">
        <w:rPr>
          <w:sz w:val="24"/>
          <w:szCs w:val="24"/>
        </w:rPr>
        <w:t>,</w:t>
      </w:r>
      <w:r w:rsidR="00F5663E">
        <w:rPr>
          <w:sz w:val="24"/>
          <w:szCs w:val="24"/>
        </w:rPr>
        <w:t xml:space="preserve"> they had </w:t>
      </w:r>
      <w:r w:rsidR="0014412D">
        <w:rPr>
          <w:sz w:val="24"/>
          <w:szCs w:val="24"/>
        </w:rPr>
        <w:t xml:space="preserve">orthodontic </w:t>
      </w:r>
      <w:r w:rsidR="004F5279">
        <w:rPr>
          <w:sz w:val="24"/>
          <w:szCs w:val="24"/>
        </w:rPr>
        <w:t>treatment</w:t>
      </w:r>
      <w:r w:rsidR="0029694F">
        <w:rPr>
          <w:sz w:val="24"/>
          <w:szCs w:val="24"/>
        </w:rPr>
        <w:t>. T</w:t>
      </w:r>
      <w:r w:rsidR="004F5279">
        <w:rPr>
          <w:sz w:val="24"/>
          <w:szCs w:val="24"/>
        </w:rPr>
        <w:t>he client started experiencing symptoms and was later diagnosed with infective endocarditis</w:t>
      </w:r>
      <w:r w:rsidR="0014412D">
        <w:rPr>
          <w:sz w:val="24"/>
          <w:szCs w:val="24"/>
        </w:rPr>
        <w:t xml:space="preserve">. </w:t>
      </w:r>
      <w:r w:rsidR="005D23D7">
        <w:rPr>
          <w:sz w:val="24"/>
          <w:szCs w:val="24"/>
        </w:rPr>
        <w:t xml:space="preserve">This was an intense reminder for everyone in the office to ensure accurate, thorough medical history to try to prevent this situation again. </w:t>
      </w:r>
    </w:p>
    <w:p w14:paraId="42252F99" w14:textId="77777777" w:rsidR="00CB1632" w:rsidRDefault="00CB1632" w:rsidP="00326F5C">
      <w:pPr>
        <w:spacing w:after="200" w:line="480" w:lineRule="auto"/>
        <w:rPr>
          <w:b/>
          <w:bCs/>
          <w:sz w:val="24"/>
          <w:szCs w:val="24"/>
        </w:rPr>
      </w:pPr>
    </w:p>
    <w:p w14:paraId="795FBB27" w14:textId="42951885" w:rsidR="00080713" w:rsidRPr="00080713" w:rsidRDefault="00080713" w:rsidP="00326F5C">
      <w:pPr>
        <w:spacing w:after="200" w:line="480" w:lineRule="auto"/>
        <w:rPr>
          <w:b/>
          <w:bCs/>
          <w:sz w:val="24"/>
          <w:szCs w:val="24"/>
        </w:rPr>
      </w:pPr>
      <w:r w:rsidRPr="00080713">
        <w:rPr>
          <w:b/>
          <w:bCs/>
          <w:sz w:val="24"/>
          <w:szCs w:val="24"/>
        </w:rPr>
        <w:t>Infective endocarditis in relation to ADPIE</w:t>
      </w:r>
      <w:r w:rsidR="001A0B8C">
        <w:rPr>
          <w:b/>
          <w:bCs/>
          <w:sz w:val="24"/>
          <w:szCs w:val="24"/>
        </w:rPr>
        <w:t>D.</w:t>
      </w:r>
    </w:p>
    <w:p w14:paraId="5AF3F13E" w14:textId="77777777" w:rsidR="00122292" w:rsidRDefault="003926A6" w:rsidP="002D5107">
      <w:pPr>
        <w:spacing w:after="200"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Infective endocarditis relates to the dental hygiene process of care through </w:t>
      </w:r>
      <w:r w:rsidR="00586B91">
        <w:rPr>
          <w:sz w:val="24"/>
          <w:szCs w:val="24"/>
        </w:rPr>
        <w:t>initial assessment</w:t>
      </w:r>
      <w:r w:rsidR="00A70069">
        <w:rPr>
          <w:sz w:val="24"/>
          <w:szCs w:val="24"/>
        </w:rPr>
        <w:t xml:space="preserve">, I as the clinician must be aware of potentially harmful </w:t>
      </w:r>
      <w:r w:rsidR="00FC5050">
        <w:rPr>
          <w:sz w:val="24"/>
          <w:szCs w:val="24"/>
        </w:rPr>
        <w:t xml:space="preserve">conditions that could affect my </w:t>
      </w:r>
      <w:r w:rsidR="001D3564">
        <w:rPr>
          <w:sz w:val="24"/>
          <w:szCs w:val="24"/>
        </w:rPr>
        <w:t>client and</w:t>
      </w:r>
      <w:r w:rsidR="00FC5050">
        <w:rPr>
          <w:sz w:val="24"/>
          <w:szCs w:val="24"/>
        </w:rPr>
        <w:t xml:space="preserve"> </w:t>
      </w:r>
      <w:proofErr w:type="gramStart"/>
      <w:r w:rsidR="00FC5050">
        <w:rPr>
          <w:sz w:val="24"/>
          <w:szCs w:val="24"/>
        </w:rPr>
        <w:t>have the ability to</w:t>
      </w:r>
      <w:proofErr w:type="gramEnd"/>
      <w:r w:rsidR="00FC5050">
        <w:rPr>
          <w:sz w:val="24"/>
          <w:szCs w:val="24"/>
        </w:rPr>
        <w:t xml:space="preserve"> use critical thinking </w:t>
      </w:r>
      <w:r w:rsidR="00745995">
        <w:rPr>
          <w:sz w:val="24"/>
          <w:szCs w:val="24"/>
        </w:rPr>
        <w:t xml:space="preserve">to be able to provide the best treatment for my client. </w:t>
      </w:r>
      <w:r w:rsidR="001D3564">
        <w:rPr>
          <w:sz w:val="24"/>
          <w:szCs w:val="24"/>
        </w:rPr>
        <w:t>Firstly,</w:t>
      </w:r>
      <w:r w:rsidR="00745995">
        <w:rPr>
          <w:sz w:val="24"/>
          <w:szCs w:val="24"/>
        </w:rPr>
        <w:t xml:space="preserve"> by taking a full </w:t>
      </w:r>
      <w:r w:rsidR="007E5F26">
        <w:rPr>
          <w:sz w:val="24"/>
          <w:szCs w:val="24"/>
        </w:rPr>
        <w:t xml:space="preserve">medical and dental history, I can have the basic necessary information about my </w:t>
      </w:r>
      <w:r w:rsidR="001D3564">
        <w:rPr>
          <w:sz w:val="24"/>
          <w:szCs w:val="24"/>
        </w:rPr>
        <w:t>client (</w:t>
      </w:r>
      <w:r w:rsidR="007E5F26">
        <w:rPr>
          <w:sz w:val="24"/>
          <w:szCs w:val="24"/>
        </w:rPr>
        <w:t>CDHO</w:t>
      </w:r>
      <w:r w:rsidR="0056564A">
        <w:rPr>
          <w:sz w:val="24"/>
          <w:szCs w:val="24"/>
        </w:rPr>
        <w:t xml:space="preserve"> 2016</w:t>
      </w:r>
      <w:r w:rsidR="007E5F26">
        <w:rPr>
          <w:sz w:val="24"/>
          <w:szCs w:val="24"/>
        </w:rPr>
        <w:t>)</w:t>
      </w:r>
      <w:r w:rsidR="00447350">
        <w:rPr>
          <w:sz w:val="24"/>
          <w:szCs w:val="24"/>
        </w:rPr>
        <w:t xml:space="preserve">. A client diagnosed with infective endocarditis </w:t>
      </w:r>
      <w:r w:rsidR="002016B5">
        <w:rPr>
          <w:sz w:val="24"/>
          <w:szCs w:val="24"/>
        </w:rPr>
        <w:t>that require</w:t>
      </w:r>
      <w:r w:rsidR="00082837">
        <w:rPr>
          <w:sz w:val="24"/>
          <w:szCs w:val="24"/>
        </w:rPr>
        <w:t>s</w:t>
      </w:r>
      <w:r w:rsidR="002016B5">
        <w:rPr>
          <w:sz w:val="24"/>
          <w:szCs w:val="24"/>
        </w:rPr>
        <w:t xml:space="preserve"> antibiotic prophylaxis </w:t>
      </w:r>
      <w:r w:rsidR="001D3564">
        <w:rPr>
          <w:sz w:val="24"/>
          <w:szCs w:val="24"/>
        </w:rPr>
        <w:t xml:space="preserve">in relation to dental treatment is </w:t>
      </w:r>
      <w:r w:rsidR="00A83253">
        <w:rPr>
          <w:sz w:val="24"/>
          <w:szCs w:val="24"/>
        </w:rPr>
        <w:t>outlined as</w:t>
      </w:r>
      <w:r w:rsidR="002016B5">
        <w:rPr>
          <w:sz w:val="24"/>
          <w:szCs w:val="24"/>
        </w:rPr>
        <w:t xml:space="preserve"> </w:t>
      </w:r>
      <w:r w:rsidR="00162A85">
        <w:rPr>
          <w:sz w:val="24"/>
          <w:szCs w:val="24"/>
        </w:rPr>
        <w:t>“</w:t>
      </w:r>
      <w:r w:rsidR="0063597C">
        <w:rPr>
          <w:sz w:val="24"/>
          <w:szCs w:val="24"/>
        </w:rPr>
        <w:t xml:space="preserve">Regarding infective endocarditis, </w:t>
      </w:r>
      <w:r w:rsidR="0021601B">
        <w:rPr>
          <w:sz w:val="24"/>
          <w:szCs w:val="24"/>
        </w:rPr>
        <w:t>antibiotic</w:t>
      </w:r>
      <w:r w:rsidR="0063597C">
        <w:rPr>
          <w:sz w:val="24"/>
          <w:szCs w:val="24"/>
        </w:rPr>
        <w:t xml:space="preserve"> prophylaxis is reasonable only for clients</w:t>
      </w:r>
      <w:r w:rsidR="0021601B">
        <w:rPr>
          <w:sz w:val="24"/>
          <w:szCs w:val="24"/>
        </w:rPr>
        <w:t xml:space="preserve"> </w:t>
      </w:r>
      <w:r w:rsidR="0063597C">
        <w:rPr>
          <w:sz w:val="24"/>
          <w:szCs w:val="24"/>
        </w:rPr>
        <w:t>with the highest risk of adverse outcomes who undergo dental/dental hygiene procedures that involve manipulation of either gingival tissue or the periapical region of teeth or perforation of the oral mucosa</w:t>
      </w:r>
      <w:r w:rsidR="00CB1632">
        <w:rPr>
          <w:sz w:val="24"/>
          <w:szCs w:val="24"/>
        </w:rPr>
        <w:t>.</w:t>
      </w:r>
      <w:r w:rsidR="0021601B">
        <w:rPr>
          <w:sz w:val="24"/>
          <w:szCs w:val="24"/>
        </w:rPr>
        <w:t xml:space="preserve">” (CDHO </w:t>
      </w:r>
      <w:r w:rsidR="00DA34DB">
        <w:rPr>
          <w:sz w:val="24"/>
          <w:szCs w:val="24"/>
        </w:rPr>
        <w:t>P</w:t>
      </w:r>
      <w:r w:rsidR="00CB1632">
        <w:rPr>
          <w:sz w:val="24"/>
          <w:szCs w:val="24"/>
        </w:rPr>
        <w:t>g.</w:t>
      </w:r>
      <w:r w:rsidR="0021601B">
        <w:rPr>
          <w:sz w:val="24"/>
          <w:szCs w:val="24"/>
        </w:rPr>
        <w:t xml:space="preserve"> 1</w:t>
      </w:r>
      <w:r w:rsidR="00375912">
        <w:rPr>
          <w:sz w:val="24"/>
          <w:szCs w:val="24"/>
        </w:rPr>
        <w:t xml:space="preserve"> </w:t>
      </w:r>
      <w:r w:rsidR="009B6ED6">
        <w:rPr>
          <w:sz w:val="24"/>
          <w:szCs w:val="24"/>
        </w:rPr>
        <w:t>2023</w:t>
      </w:r>
      <w:r w:rsidR="0021601B">
        <w:rPr>
          <w:sz w:val="24"/>
          <w:szCs w:val="24"/>
        </w:rPr>
        <w:t>)</w:t>
      </w:r>
      <w:r w:rsidR="00CB1632">
        <w:rPr>
          <w:sz w:val="24"/>
          <w:szCs w:val="24"/>
        </w:rPr>
        <w:t>.</w:t>
      </w:r>
      <w:r w:rsidR="002B60CD">
        <w:rPr>
          <w:sz w:val="24"/>
          <w:szCs w:val="24"/>
        </w:rPr>
        <w:t xml:space="preserve"> As the job of a dental hygienist includes manipulat</w:t>
      </w:r>
      <w:r w:rsidR="00F03642">
        <w:rPr>
          <w:sz w:val="24"/>
          <w:szCs w:val="24"/>
        </w:rPr>
        <w:t>ion</w:t>
      </w:r>
      <w:r w:rsidR="002B60CD">
        <w:rPr>
          <w:sz w:val="24"/>
          <w:szCs w:val="24"/>
        </w:rPr>
        <w:t xml:space="preserve"> the gingival tissue it would be indicated in </w:t>
      </w:r>
      <w:r w:rsidR="005D0043">
        <w:rPr>
          <w:sz w:val="24"/>
          <w:szCs w:val="24"/>
        </w:rPr>
        <w:t>clients diagnosed with</w:t>
      </w:r>
      <w:r w:rsidR="0009171B">
        <w:rPr>
          <w:sz w:val="24"/>
          <w:szCs w:val="24"/>
        </w:rPr>
        <w:t xml:space="preserve"> previous infective endocarditis </w:t>
      </w:r>
      <w:r w:rsidR="004E4D7C">
        <w:rPr>
          <w:sz w:val="24"/>
          <w:szCs w:val="24"/>
        </w:rPr>
        <w:t xml:space="preserve">(CDHO </w:t>
      </w:r>
      <w:r w:rsidR="00144AAA">
        <w:rPr>
          <w:sz w:val="24"/>
          <w:szCs w:val="24"/>
        </w:rPr>
        <w:t>2019</w:t>
      </w:r>
      <w:r w:rsidR="004E4D7C">
        <w:rPr>
          <w:sz w:val="24"/>
          <w:szCs w:val="24"/>
        </w:rPr>
        <w:t>)</w:t>
      </w:r>
      <w:r w:rsidR="00080713">
        <w:rPr>
          <w:sz w:val="24"/>
          <w:szCs w:val="24"/>
        </w:rPr>
        <w:t xml:space="preserve">. </w:t>
      </w:r>
      <w:r w:rsidR="007772EA">
        <w:rPr>
          <w:sz w:val="24"/>
          <w:szCs w:val="24"/>
        </w:rPr>
        <w:t>There are instances too when postponing treatment may be required</w:t>
      </w:r>
      <w:r w:rsidR="0092291B">
        <w:rPr>
          <w:sz w:val="24"/>
          <w:szCs w:val="24"/>
        </w:rPr>
        <w:t xml:space="preserve">. Another </w:t>
      </w:r>
      <w:r w:rsidR="00E25F1E">
        <w:rPr>
          <w:sz w:val="24"/>
          <w:szCs w:val="24"/>
        </w:rPr>
        <w:t>situation</w:t>
      </w:r>
      <w:r w:rsidR="0092291B">
        <w:rPr>
          <w:sz w:val="24"/>
          <w:szCs w:val="24"/>
        </w:rPr>
        <w:t xml:space="preserve"> at my previous office was a client diagnosed with infective endocarditis</w:t>
      </w:r>
      <w:r w:rsidR="00A56131">
        <w:rPr>
          <w:sz w:val="24"/>
          <w:szCs w:val="24"/>
        </w:rPr>
        <w:t>,</w:t>
      </w:r>
      <w:r w:rsidR="0094167D">
        <w:rPr>
          <w:sz w:val="24"/>
          <w:szCs w:val="24"/>
        </w:rPr>
        <w:t xml:space="preserve"> failed to take their antibiotic prior to treatment</w:t>
      </w:r>
      <w:r w:rsidR="00C75436">
        <w:rPr>
          <w:sz w:val="24"/>
          <w:szCs w:val="24"/>
        </w:rPr>
        <w:t>.</w:t>
      </w:r>
      <w:r w:rsidR="0094167D">
        <w:rPr>
          <w:sz w:val="24"/>
          <w:szCs w:val="24"/>
        </w:rPr>
        <w:t xml:space="preserve"> </w:t>
      </w:r>
      <w:r w:rsidR="000F0770">
        <w:rPr>
          <w:sz w:val="24"/>
          <w:szCs w:val="24"/>
        </w:rPr>
        <w:t xml:space="preserve">I saw this client and was aware of the previous condition and when they disclosed to me the antibiotic had </w:t>
      </w:r>
      <w:r w:rsidR="007B7554">
        <w:rPr>
          <w:sz w:val="24"/>
          <w:szCs w:val="24"/>
        </w:rPr>
        <w:t xml:space="preserve">not been </w:t>
      </w:r>
      <w:r w:rsidR="00C75436">
        <w:rPr>
          <w:sz w:val="24"/>
          <w:szCs w:val="24"/>
        </w:rPr>
        <w:t>taken,</w:t>
      </w:r>
      <w:r w:rsidR="007B7554">
        <w:rPr>
          <w:sz w:val="24"/>
          <w:szCs w:val="24"/>
        </w:rPr>
        <w:t xml:space="preserve"> I knew treatment needed to be postponed to a later date.</w:t>
      </w:r>
      <w:r w:rsidR="00F60755">
        <w:rPr>
          <w:sz w:val="24"/>
          <w:szCs w:val="24"/>
        </w:rPr>
        <w:t xml:space="preserve"> </w:t>
      </w:r>
      <w:r w:rsidR="00221AEC">
        <w:rPr>
          <w:sz w:val="24"/>
          <w:szCs w:val="24"/>
        </w:rPr>
        <w:t>Treatment</w:t>
      </w:r>
      <w:r w:rsidR="00D960D2">
        <w:rPr>
          <w:sz w:val="24"/>
          <w:szCs w:val="24"/>
        </w:rPr>
        <w:t xml:space="preserve"> can also be postponed if the antibiotic has not been taken in the correct time </w:t>
      </w:r>
      <w:r w:rsidR="00221AEC">
        <w:rPr>
          <w:sz w:val="24"/>
          <w:szCs w:val="24"/>
        </w:rPr>
        <w:t>frame</w:t>
      </w:r>
      <w:r w:rsidR="00D960D2">
        <w:rPr>
          <w:sz w:val="24"/>
          <w:szCs w:val="24"/>
        </w:rPr>
        <w:t xml:space="preserve"> require</w:t>
      </w:r>
      <w:r w:rsidR="00221AEC">
        <w:rPr>
          <w:sz w:val="24"/>
          <w:szCs w:val="24"/>
        </w:rPr>
        <w:t xml:space="preserve">d, this would be indicated by the </w:t>
      </w:r>
      <w:r w:rsidR="0071330A">
        <w:rPr>
          <w:sz w:val="24"/>
          <w:szCs w:val="24"/>
        </w:rPr>
        <w:t>client’s</w:t>
      </w:r>
      <w:r w:rsidR="005F3BE2">
        <w:rPr>
          <w:sz w:val="24"/>
          <w:szCs w:val="24"/>
        </w:rPr>
        <w:t xml:space="preserve"> </w:t>
      </w:r>
      <w:r w:rsidR="00375912">
        <w:rPr>
          <w:sz w:val="24"/>
          <w:szCs w:val="24"/>
        </w:rPr>
        <w:t>physician (</w:t>
      </w:r>
      <w:r w:rsidR="00221AEC">
        <w:rPr>
          <w:sz w:val="24"/>
          <w:szCs w:val="24"/>
        </w:rPr>
        <w:t xml:space="preserve">CDHO </w:t>
      </w:r>
      <w:r w:rsidR="00144AAA">
        <w:rPr>
          <w:sz w:val="24"/>
          <w:szCs w:val="24"/>
        </w:rPr>
        <w:t>2019</w:t>
      </w:r>
      <w:r w:rsidR="009A3B13">
        <w:rPr>
          <w:sz w:val="24"/>
          <w:szCs w:val="24"/>
        </w:rPr>
        <w:t>)</w:t>
      </w:r>
      <w:r w:rsidR="005117FF">
        <w:rPr>
          <w:sz w:val="24"/>
          <w:szCs w:val="24"/>
        </w:rPr>
        <w:t>.</w:t>
      </w:r>
      <w:r w:rsidR="009A3B13">
        <w:rPr>
          <w:sz w:val="24"/>
          <w:szCs w:val="24"/>
        </w:rPr>
        <w:t xml:space="preserve"> The</w:t>
      </w:r>
      <w:r w:rsidR="00C75436">
        <w:rPr>
          <w:sz w:val="24"/>
          <w:szCs w:val="24"/>
        </w:rPr>
        <w:t xml:space="preserve"> diagnosis phase </w:t>
      </w:r>
      <w:r w:rsidR="00B63707">
        <w:rPr>
          <w:sz w:val="24"/>
          <w:szCs w:val="24"/>
        </w:rPr>
        <w:t xml:space="preserve">for a client with infective endocarditis </w:t>
      </w:r>
      <w:r w:rsidR="00870A7F">
        <w:rPr>
          <w:sz w:val="24"/>
          <w:szCs w:val="24"/>
        </w:rPr>
        <w:t>would include all rationale for treatment</w:t>
      </w:r>
      <w:r w:rsidR="00182B45">
        <w:rPr>
          <w:sz w:val="24"/>
          <w:szCs w:val="24"/>
        </w:rPr>
        <w:t xml:space="preserve">, </w:t>
      </w:r>
      <w:r w:rsidR="00791B2C">
        <w:rPr>
          <w:sz w:val="24"/>
          <w:szCs w:val="24"/>
        </w:rPr>
        <w:t xml:space="preserve">and a treatment plan formulated (CDHO </w:t>
      </w:r>
      <w:r w:rsidR="00144AAA">
        <w:rPr>
          <w:sz w:val="24"/>
          <w:szCs w:val="24"/>
        </w:rPr>
        <w:t>2016</w:t>
      </w:r>
      <w:r w:rsidR="00375912">
        <w:rPr>
          <w:sz w:val="24"/>
          <w:szCs w:val="24"/>
        </w:rPr>
        <w:t>)</w:t>
      </w:r>
      <w:r w:rsidR="005117FF">
        <w:rPr>
          <w:sz w:val="24"/>
          <w:szCs w:val="24"/>
        </w:rPr>
        <w:t>.</w:t>
      </w:r>
      <w:r w:rsidR="00375912">
        <w:rPr>
          <w:sz w:val="24"/>
          <w:szCs w:val="24"/>
        </w:rPr>
        <w:t xml:space="preserve"> </w:t>
      </w:r>
      <w:r w:rsidR="002629FE">
        <w:rPr>
          <w:sz w:val="24"/>
          <w:szCs w:val="24"/>
        </w:rPr>
        <w:t xml:space="preserve">During all aspects of care the client must be involved especially </w:t>
      </w:r>
      <w:r w:rsidR="00BF1588">
        <w:rPr>
          <w:sz w:val="24"/>
          <w:szCs w:val="24"/>
        </w:rPr>
        <w:t xml:space="preserve">the planning phase (CDHO </w:t>
      </w:r>
      <w:r w:rsidR="00144AAA">
        <w:rPr>
          <w:sz w:val="24"/>
          <w:szCs w:val="24"/>
        </w:rPr>
        <w:t>2016</w:t>
      </w:r>
      <w:r w:rsidR="00BF1588">
        <w:rPr>
          <w:sz w:val="24"/>
          <w:szCs w:val="24"/>
        </w:rPr>
        <w:t>)</w:t>
      </w:r>
      <w:r w:rsidR="005117FF">
        <w:rPr>
          <w:sz w:val="24"/>
          <w:szCs w:val="24"/>
        </w:rPr>
        <w:t xml:space="preserve">. </w:t>
      </w:r>
      <w:r w:rsidR="00FC36AA">
        <w:rPr>
          <w:sz w:val="24"/>
          <w:szCs w:val="24"/>
        </w:rPr>
        <w:t>T</w:t>
      </w:r>
      <w:r w:rsidR="00BF1588">
        <w:rPr>
          <w:sz w:val="24"/>
          <w:szCs w:val="24"/>
        </w:rPr>
        <w:t xml:space="preserve">his will include goals and objectives to work towards with the client, a plan </w:t>
      </w:r>
      <w:r w:rsidR="00FC36AA">
        <w:rPr>
          <w:sz w:val="24"/>
          <w:szCs w:val="24"/>
        </w:rPr>
        <w:t>for the treatment to take place</w:t>
      </w:r>
      <w:r w:rsidR="00FF08D6">
        <w:rPr>
          <w:sz w:val="24"/>
          <w:szCs w:val="24"/>
        </w:rPr>
        <w:t xml:space="preserve"> and lastly but most importantly</w:t>
      </w:r>
      <w:r w:rsidR="009A6690">
        <w:rPr>
          <w:sz w:val="24"/>
          <w:szCs w:val="24"/>
        </w:rPr>
        <w:t xml:space="preserve"> including informed consent (CDHO </w:t>
      </w:r>
      <w:r w:rsidR="00144AAA">
        <w:rPr>
          <w:sz w:val="24"/>
          <w:szCs w:val="24"/>
        </w:rPr>
        <w:t>2016</w:t>
      </w:r>
      <w:r w:rsidR="009A6690">
        <w:rPr>
          <w:sz w:val="24"/>
          <w:szCs w:val="24"/>
        </w:rPr>
        <w:t>)</w:t>
      </w:r>
      <w:r w:rsidR="005117FF">
        <w:rPr>
          <w:sz w:val="24"/>
          <w:szCs w:val="24"/>
        </w:rPr>
        <w:t>.</w:t>
      </w:r>
      <w:r w:rsidR="009A6690">
        <w:rPr>
          <w:sz w:val="24"/>
          <w:szCs w:val="24"/>
        </w:rPr>
        <w:t xml:space="preserve"> I as the student clinician should be able to answer any questions my client may have about infective </w:t>
      </w:r>
      <w:r w:rsidR="00E90669">
        <w:rPr>
          <w:sz w:val="24"/>
          <w:szCs w:val="24"/>
        </w:rPr>
        <w:t>endocarditis or</w:t>
      </w:r>
      <w:r w:rsidR="009A6690">
        <w:rPr>
          <w:sz w:val="24"/>
          <w:szCs w:val="24"/>
        </w:rPr>
        <w:t xml:space="preserve"> be able to </w:t>
      </w:r>
      <w:r w:rsidR="00E90669">
        <w:rPr>
          <w:sz w:val="24"/>
          <w:szCs w:val="24"/>
        </w:rPr>
        <w:t xml:space="preserve">source the correct information. This information is available </w:t>
      </w:r>
      <w:r w:rsidR="00E90669">
        <w:rPr>
          <w:sz w:val="24"/>
          <w:szCs w:val="24"/>
        </w:rPr>
        <w:lastRenderedPageBreak/>
        <w:t>through the CDHO knowledge network and can be accessed during any point of the clinic</w:t>
      </w:r>
      <w:r w:rsidR="00182DC7">
        <w:rPr>
          <w:sz w:val="24"/>
          <w:szCs w:val="24"/>
        </w:rPr>
        <w:t xml:space="preserve">. </w:t>
      </w:r>
      <w:proofErr w:type="gramStart"/>
      <w:r w:rsidR="00182DC7">
        <w:rPr>
          <w:sz w:val="24"/>
          <w:szCs w:val="24"/>
        </w:rPr>
        <w:t>I</w:t>
      </w:r>
      <w:r w:rsidR="006A4F46">
        <w:rPr>
          <w:sz w:val="24"/>
          <w:szCs w:val="24"/>
        </w:rPr>
        <w:t>f</w:t>
      </w:r>
      <w:r w:rsidR="00E90669">
        <w:rPr>
          <w:sz w:val="24"/>
          <w:szCs w:val="24"/>
        </w:rPr>
        <w:t xml:space="preserve"> </w:t>
      </w:r>
      <w:r w:rsidR="00182DC7">
        <w:rPr>
          <w:sz w:val="24"/>
          <w:szCs w:val="24"/>
        </w:rPr>
        <w:t>and when</w:t>
      </w:r>
      <w:proofErr w:type="gramEnd"/>
      <w:r w:rsidR="00182DC7">
        <w:rPr>
          <w:sz w:val="24"/>
          <w:szCs w:val="24"/>
        </w:rPr>
        <w:t xml:space="preserve"> </w:t>
      </w:r>
      <w:r w:rsidR="00E90669">
        <w:rPr>
          <w:sz w:val="24"/>
          <w:szCs w:val="24"/>
        </w:rPr>
        <w:t xml:space="preserve">I </w:t>
      </w:r>
      <w:r w:rsidR="00182DC7">
        <w:rPr>
          <w:sz w:val="24"/>
          <w:szCs w:val="24"/>
        </w:rPr>
        <w:t>am</w:t>
      </w:r>
      <w:r w:rsidR="00E90669">
        <w:rPr>
          <w:sz w:val="24"/>
          <w:szCs w:val="24"/>
        </w:rPr>
        <w:t xml:space="preserve"> to have a client with infective </w:t>
      </w:r>
      <w:r w:rsidR="00CD4567">
        <w:rPr>
          <w:sz w:val="24"/>
          <w:szCs w:val="24"/>
        </w:rPr>
        <w:t>endocarditis,</w:t>
      </w:r>
      <w:r w:rsidR="00E90669">
        <w:rPr>
          <w:sz w:val="24"/>
          <w:szCs w:val="24"/>
        </w:rPr>
        <w:t xml:space="preserve"> I would ensure adequate knowledge </w:t>
      </w:r>
      <w:r w:rsidR="00D26377">
        <w:rPr>
          <w:sz w:val="24"/>
          <w:szCs w:val="24"/>
        </w:rPr>
        <w:t xml:space="preserve">to ensure great </w:t>
      </w:r>
      <w:r w:rsidR="00FB3670">
        <w:rPr>
          <w:sz w:val="24"/>
          <w:szCs w:val="24"/>
        </w:rPr>
        <w:t>client</w:t>
      </w:r>
      <w:r w:rsidR="00D26377">
        <w:rPr>
          <w:sz w:val="24"/>
          <w:szCs w:val="24"/>
        </w:rPr>
        <w:t xml:space="preserve"> care is provided. </w:t>
      </w:r>
      <w:r w:rsidR="000E3E2B">
        <w:rPr>
          <w:sz w:val="24"/>
          <w:szCs w:val="24"/>
        </w:rPr>
        <w:t>During t</w:t>
      </w:r>
      <w:r w:rsidR="00777B60">
        <w:rPr>
          <w:sz w:val="24"/>
          <w:szCs w:val="24"/>
        </w:rPr>
        <w:t>he implementation</w:t>
      </w:r>
      <w:r w:rsidR="00BE4853">
        <w:rPr>
          <w:sz w:val="24"/>
          <w:szCs w:val="24"/>
        </w:rPr>
        <w:t xml:space="preserve"> and assessment</w:t>
      </w:r>
      <w:r w:rsidR="00777B60">
        <w:rPr>
          <w:sz w:val="24"/>
          <w:szCs w:val="24"/>
        </w:rPr>
        <w:t xml:space="preserve"> phase</w:t>
      </w:r>
      <w:r w:rsidR="000E3E2B">
        <w:rPr>
          <w:sz w:val="24"/>
          <w:szCs w:val="24"/>
        </w:rPr>
        <w:t>,</w:t>
      </w:r>
      <w:r w:rsidR="00777B60">
        <w:rPr>
          <w:sz w:val="24"/>
          <w:szCs w:val="24"/>
        </w:rPr>
        <w:t xml:space="preserve"> a</w:t>
      </w:r>
      <w:r w:rsidR="003D3674">
        <w:rPr>
          <w:sz w:val="24"/>
          <w:szCs w:val="24"/>
        </w:rPr>
        <w:t xml:space="preserve"> client with infective endocarditis attending the school would </w:t>
      </w:r>
      <w:r w:rsidR="00C23693">
        <w:rPr>
          <w:sz w:val="24"/>
          <w:szCs w:val="24"/>
        </w:rPr>
        <w:t xml:space="preserve">be </w:t>
      </w:r>
      <w:r w:rsidR="00BE4853">
        <w:rPr>
          <w:sz w:val="24"/>
          <w:szCs w:val="24"/>
        </w:rPr>
        <w:t>recommended</w:t>
      </w:r>
      <w:r w:rsidR="00C23693">
        <w:rPr>
          <w:sz w:val="24"/>
          <w:szCs w:val="24"/>
        </w:rPr>
        <w:t xml:space="preserve"> antibiotic prophylaxis for the procedures</w:t>
      </w:r>
      <w:r w:rsidR="005B7DC8">
        <w:rPr>
          <w:sz w:val="24"/>
          <w:szCs w:val="24"/>
        </w:rPr>
        <w:t xml:space="preserve"> </w:t>
      </w:r>
      <w:r w:rsidR="00C23693">
        <w:rPr>
          <w:sz w:val="24"/>
          <w:szCs w:val="24"/>
        </w:rPr>
        <w:t xml:space="preserve">in </w:t>
      </w:r>
      <w:r w:rsidR="00AB5F87">
        <w:rPr>
          <w:sz w:val="24"/>
          <w:szCs w:val="24"/>
        </w:rPr>
        <w:t>CDHO</w:t>
      </w:r>
      <w:r w:rsidR="005C5E71">
        <w:rPr>
          <w:sz w:val="24"/>
          <w:szCs w:val="24"/>
        </w:rPr>
        <w:t xml:space="preserve">s </w:t>
      </w:r>
      <w:r w:rsidR="005B7DC8">
        <w:rPr>
          <w:sz w:val="24"/>
          <w:szCs w:val="24"/>
        </w:rPr>
        <w:t xml:space="preserve">document </w:t>
      </w:r>
      <w:r w:rsidR="005C5E71">
        <w:rPr>
          <w:sz w:val="24"/>
          <w:szCs w:val="24"/>
        </w:rPr>
        <w:t xml:space="preserve">Guideline: recommended antibiotic prophylaxis regimens for the prevention of infective endocarditis and hematogenous </w:t>
      </w:r>
      <w:r w:rsidR="00691422">
        <w:rPr>
          <w:sz w:val="24"/>
          <w:szCs w:val="24"/>
        </w:rPr>
        <w:t xml:space="preserve">joint infection </w:t>
      </w:r>
      <w:r w:rsidR="00BE4853">
        <w:rPr>
          <w:sz w:val="24"/>
          <w:szCs w:val="24"/>
        </w:rPr>
        <w:t xml:space="preserve">as periodontal procedures, </w:t>
      </w:r>
      <w:r w:rsidR="00AB5F87">
        <w:rPr>
          <w:sz w:val="24"/>
          <w:szCs w:val="24"/>
        </w:rPr>
        <w:t>periodontal probing, and prophylactic cleaning</w:t>
      </w:r>
      <w:r w:rsidR="009E5882">
        <w:rPr>
          <w:sz w:val="24"/>
          <w:szCs w:val="24"/>
        </w:rPr>
        <w:t xml:space="preserve"> </w:t>
      </w:r>
      <w:r w:rsidR="00AB5F87">
        <w:rPr>
          <w:sz w:val="24"/>
          <w:szCs w:val="24"/>
        </w:rPr>
        <w:t>(CDHO</w:t>
      </w:r>
      <w:r w:rsidR="00C94737">
        <w:rPr>
          <w:sz w:val="24"/>
          <w:szCs w:val="24"/>
        </w:rPr>
        <w:t xml:space="preserve"> 2023</w:t>
      </w:r>
      <w:r w:rsidR="00AB5F87">
        <w:rPr>
          <w:sz w:val="24"/>
          <w:szCs w:val="24"/>
        </w:rPr>
        <w:t>)</w:t>
      </w:r>
      <w:r w:rsidR="009E5882">
        <w:rPr>
          <w:sz w:val="24"/>
          <w:szCs w:val="24"/>
        </w:rPr>
        <w:t>.</w:t>
      </w:r>
      <w:r w:rsidR="00AB5F87">
        <w:rPr>
          <w:sz w:val="24"/>
          <w:szCs w:val="24"/>
        </w:rPr>
        <w:t xml:space="preserve"> </w:t>
      </w:r>
      <w:r w:rsidR="009E5882">
        <w:rPr>
          <w:sz w:val="24"/>
          <w:szCs w:val="24"/>
        </w:rPr>
        <w:t>It’s</w:t>
      </w:r>
      <w:r w:rsidR="00BF3A33">
        <w:rPr>
          <w:sz w:val="24"/>
          <w:szCs w:val="24"/>
        </w:rPr>
        <w:t xml:space="preserve"> outlined for adults </w:t>
      </w:r>
      <w:r w:rsidR="00CD4567">
        <w:rPr>
          <w:sz w:val="24"/>
          <w:szCs w:val="24"/>
        </w:rPr>
        <w:t xml:space="preserve">able to take </w:t>
      </w:r>
      <w:r w:rsidR="00554E1F">
        <w:rPr>
          <w:sz w:val="24"/>
          <w:szCs w:val="24"/>
        </w:rPr>
        <w:t>two grams</w:t>
      </w:r>
      <w:r w:rsidR="00BF3A33">
        <w:rPr>
          <w:sz w:val="24"/>
          <w:szCs w:val="24"/>
        </w:rPr>
        <w:t xml:space="preserve"> and children </w:t>
      </w:r>
      <w:r w:rsidR="00554E1F">
        <w:rPr>
          <w:sz w:val="24"/>
          <w:szCs w:val="24"/>
        </w:rPr>
        <w:t>fifty milligrams per kilogram</w:t>
      </w:r>
      <w:r w:rsidR="007C279D">
        <w:rPr>
          <w:sz w:val="24"/>
          <w:szCs w:val="24"/>
        </w:rPr>
        <w:t xml:space="preserve"> of </w:t>
      </w:r>
      <w:r w:rsidR="0002337B">
        <w:rPr>
          <w:sz w:val="24"/>
          <w:szCs w:val="24"/>
        </w:rPr>
        <w:t xml:space="preserve">prescribed </w:t>
      </w:r>
      <w:r w:rsidR="007C279D">
        <w:rPr>
          <w:sz w:val="24"/>
          <w:szCs w:val="24"/>
        </w:rPr>
        <w:t>medication</w:t>
      </w:r>
      <w:r w:rsidR="009E5882">
        <w:rPr>
          <w:sz w:val="24"/>
          <w:szCs w:val="24"/>
        </w:rPr>
        <w:t xml:space="preserve"> </w:t>
      </w:r>
      <w:r w:rsidR="00CD4567">
        <w:rPr>
          <w:sz w:val="24"/>
          <w:szCs w:val="24"/>
        </w:rPr>
        <w:t>(CDHO</w:t>
      </w:r>
      <w:r w:rsidR="00A732FA">
        <w:rPr>
          <w:sz w:val="24"/>
          <w:szCs w:val="24"/>
        </w:rPr>
        <w:t xml:space="preserve"> 2023</w:t>
      </w:r>
      <w:r w:rsidR="00CD4567">
        <w:rPr>
          <w:sz w:val="24"/>
          <w:szCs w:val="24"/>
        </w:rPr>
        <w:t>)</w:t>
      </w:r>
      <w:r w:rsidR="009E5882">
        <w:rPr>
          <w:sz w:val="24"/>
          <w:szCs w:val="24"/>
        </w:rPr>
        <w:t>.</w:t>
      </w:r>
      <w:r w:rsidR="00A66738">
        <w:rPr>
          <w:sz w:val="24"/>
          <w:szCs w:val="24"/>
        </w:rPr>
        <w:t xml:space="preserve"> </w:t>
      </w:r>
      <w:r w:rsidR="009E5882">
        <w:rPr>
          <w:sz w:val="24"/>
          <w:szCs w:val="24"/>
        </w:rPr>
        <w:t>T</w:t>
      </w:r>
      <w:r w:rsidR="007C279D">
        <w:rPr>
          <w:sz w:val="24"/>
          <w:szCs w:val="24"/>
        </w:rPr>
        <w:t xml:space="preserve">he </w:t>
      </w:r>
      <w:proofErr w:type="gramStart"/>
      <w:r w:rsidR="007C279D">
        <w:rPr>
          <w:sz w:val="24"/>
          <w:szCs w:val="24"/>
        </w:rPr>
        <w:t>most commonly used</w:t>
      </w:r>
      <w:proofErr w:type="gramEnd"/>
      <w:r w:rsidR="007C279D">
        <w:rPr>
          <w:sz w:val="24"/>
          <w:szCs w:val="24"/>
        </w:rPr>
        <w:t xml:space="preserve"> </w:t>
      </w:r>
      <w:r w:rsidR="0076370A">
        <w:rPr>
          <w:sz w:val="24"/>
          <w:szCs w:val="24"/>
        </w:rPr>
        <w:t>is amoxicillin, however there are other options for clients' who are unable to take oral medication,</w:t>
      </w:r>
      <w:r w:rsidR="000F739B">
        <w:rPr>
          <w:sz w:val="24"/>
          <w:szCs w:val="24"/>
        </w:rPr>
        <w:t xml:space="preserve"> </w:t>
      </w:r>
      <w:r w:rsidR="00124598">
        <w:rPr>
          <w:sz w:val="24"/>
          <w:szCs w:val="24"/>
        </w:rPr>
        <w:t>those who are allergic to penicillin</w:t>
      </w:r>
      <w:r w:rsidR="00D006E2">
        <w:rPr>
          <w:sz w:val="24"/>
          <w:szCs w:val="24"/>
        </w:rPr>
        <w:t>, or medication in that family</w:t>
      </w:r>
      <w:r w:rsidR="009E5882">
        <w:rPr>
          <w:sz w:val="24"/>
          <w:szCs w:val="24"/>
        </w:rPr>
        <w:t xml:space="preserve"> </w:t>
      </w:r>
      <w:r w:rsidR="00124598">
        <w:rPr>
          <w:sz w:val="24"/>
          <w:szCs w:val="24"/>
        </w:rPr>
        <w:t xml:space="preserve">(CDHO </w:t>
      </w:r>
      <w:r w:rsidR="00A732FA">
        <w:rPr>
          <w:sz w:val="24"/>
          <w:szCs w:val="24"/>
        </w:rPr>
        <w:t>2023</w:t>
      </w:r>
      <w:r w:rsidR="00124598">
        <w:rPr>
          <w:sz w:val="24"/>
          <w:szCs w:val="24"/>
        </w:rPr>
        <w:t xml:space="preserve">). </w:t>
      </w:r>
      <w:r w:rsidR="00FC1355">
        <w:rPr>
          <w:sz w:val="24"/>
          <w:szCs w:val="24"/>
        </w:rPr>
        <w:t xml:space="preserve">documentation is </w:t>
      </w:r>
      <w:r w:rsidR="00051EB0">
        <w:rPr>
          <w:sz w:val="24"/>
          <w:szCs w:val="24"/>
        </w:rPr>
        <w:t>crucial</w:t>
      </w:r>
      <w:r w:rsidR="00FC1355">
        <w:rPr>
          <w:sz w:val="24"/>
          <w:szCs w:val="24"/>
        </w:rPr>
        <w:t xml:space="preserve"> and must be accurately recorded for </w:t>
      </w:r>
      <w:r w:rsidR="00195491">
        <w:rPr>
          <w:sz w:val="24"/>
          <w:szCs w:val="24"/>
        </w:rPr>
        <w:t xml:space="preserve">all clients, I would say special care should be taken </w:t>
      </w:r>
      <w:r w:rsidR="00051EB0">
        <w:rPr>
          <w:sz w:val="24"/>
          <w:szCs w:val="24"/>
        </w:rPr>
        <w:t xml:space="preserve">for clients with life threatening conditions to ensure no harm is done to the client. </w:t>
      </w:r>
      <w:r w:rsidR="00A8520B">
        <w:rPr>
          <w:sz w:val="24"/>
          <w:szCs w:val="24"/>
        </w:rPr>
        <w:t xml:space="preserve">Regular evaluation of a client with infective endocarditis </w:t>
      </w:r>
      <w:r w:rsidR="00313C0D">
        <w:rPr>
          <w:sz w:val="24"/>
          <w:szCs w:val="24"/>
        </w:rPr>
        <w:t xml:space="preserve">and all clients is important, </w:t>
      </w:r>
      <w:r w:rsidR="00117E9E">
        <w:rPr>
          <w:sz w:val="24"/>
          <w:szCs w:val="24"/>
        </w:rPr>
        <w:t>reduction of the risk of contracting infective endocarditis is outline</w:t>
      </w:r>
      <w:r w:rsidR="00956E6D">
        <w:rPr>
          <w:sz w:val="24"/>
          <w:szCs w:val="24"/>
        </w:rPr>
        <w:t>d as “seek professional dental care every six months</w:t>
      </w:r>
      <w:r w:rsidR="009E5882">
        <w:rPr>
          <w:sz w:val="24"/>
          <w:szCs w:val="24"/>
        </w:rPr>
        <w:t>.</w:t>
      </w:r>
      <w:r w:rsidR="005E7835">
        <w:rPr>
          <w:sz w:val="24"/>
          <w:szCs w:val="24"/>
        </w:rPr>
        <w:t>”</w:t>
      </w:r>
      <w:r w:rsidR="00956E6D">
        <w:rPr>
          <w:sz w:val="24"/>
          <w:szCs w:val="24"/>
        </w:rPr>
        <w:t xml:space="preserve"> </w:t>
      </w:r>
      <w:r w:rsidR="005E7835">
        <w:rPr>
          <w:sz w:val="24"/>
          <w:szCs w:val="24"/>
        </w:rPr>
        <w:t>(</w:t>
      </w:r>
      <w:r w:rsidR="008A2A4C">
        <w:rPr>
          <w:sz w:val="24"/>
          <w:szCs w:val="24"/>
        </w:rPr>
        <w:t>Cleveland</w:t>
      </w:r>
      <w:r w:rsidR="005E7835">
        <w:rPr>
          <w:sz w:val="24"/>
          <w:szCs w:val="24"/>
        </w:rPr>
        <w:t xml:space="preserve"> clinic</w:t>
      </w:r>
      <w:r w:rsidR="00CE7DB7">
        <w:rPr>
          <w:sz w:val="24"/>
          <w:szCs w:val="24"/>
        </w:rPr>
        <w:t xml:space="preserve"> Pg</w:t>
      </w:r>
      <w:r w:rsidR="009E5882">
        <w:rPr>
          <w:sz w:val="24"/>
          <w:szCs w:val="24"/>
        </w:rPr>
        <w:t>.</w:t>
      </w:r>
      <w:r w:rsidR="00CE7DB7">
        <w:rPr>
          <w:sz w:val="24"/>
          <w:szCs w:val="24"/>
        </w:rPr>
        <w:t xml:space="preserve"> 1 2022</w:t>
      </w:r>
      <w:r w:rsidR="005E7835">
        <w:rPr>
          <w:sz w:val="24"/>
          <w:szCs w:val="24"/>
        </w:rPr>
        <w:t>)</w:t>
      </w:r>
      <w:r w:rsidR="009E5882">
        <w:rPr>
          <w:sz w:val="24"/>
          <w:szCs w:val="24"/>
        </w:rPr>
        <w:t>.</w:t>
      </w:r>
      <w:r w:rsidR="008A2A4C">
        <w:rPr>
          <w:sz w:val="24"/>
          <w:szCs w:val="24"/>
        </w:rPr>
        <w:t xml:space="preserve"> </w:t>
      </w:r>
    </w:p>
    <w:p w14:paraId="538AB7FE" w14:textId="73673F4A" w:rsidR="007857B8" w:rsidRDefault="00F33D59" w:rsidP="002D5107">
      <w:pPr>
        <w:spacing w:after="200"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Through the ADPIE process as explained above </w:t>
      </w:r>
      <w:r w:rsidR="0074456E">
        <w:rPr>
          <w:sz w:val="24"/>
          <w:szCs w:val="24"/>
        </w:rPr>
        <w:t xml:space="preserve">I </w:t>
      </w:r>
      <w:r>
        <w:rPr>
          <w:sz w:val="24"/>
          <w:szCs w:val="24"/>
        </w:rPr>
        <w:t>must</w:t>
      </w:r>
      <w:r w:rsidR="0074456E">
        <w:rPr>
          <w:sz w:val="24"/>
          <w:szCs w:val="24"/>
        </w:rPr>
        <w:t xml:space="preserve"> be an advocate for all my </w:t>
      </w:r>
      <w:r w:rsidR="00246B62">
        <w:rPr>
          <w:sz w:val="24"/>
          <w:szCs w:val="24"/>
        </w:rPr>
        <w:t>clients, and ensure they are aware of the benefits and importance of dental hygiene care</w:t>
      </w:r>
      <w:r w:rsidR="008136D1">
        <w:rPr>
          <w:sz w:val="24"/>
          <w:szCs w:val="24"/>
        </w:rPr>
        <w:t xml:space="preserve">, and </w:t>
      </w:r>
      <w:r w:rsidR="004D45EE">
        <w:rPr>
          <w:sz w:val="24"/>
          <w:szCs w:val="24"/>
        </w:rPr>
        <w:t xml:space="preserve">when special considerations must be made such as a client with infective endocarditis. </w:t>
      </w:r>
      <w:r w:rsidR="00361D7F">
        <w:rPr>
          <w:sz w:val="24"/>
          <w:szCs w:val="24"/>
        </w:rPr>
        <w:t>This journal has educated me greatly on infective endocarditis and I feel more confident</w:t>
      </w:r>
      <w:r w:rsidR="0087242A">
        <w:rPr>
          <w:sz w:val="24"/>
          <w:szCs w:val="24"/>
        </w:rPr>
        <w:t xml:space="preserve"> </w:t>
      </w:r>
      <w:r w:rsidR="00A97C92">
        <w:rPr>
          <w:sz w:val="24"/>
          <w:szCs w:val="24"/>
        </w:rPr>
        <w:t xml:space="preserve">in providing </w:t>
      </w:r>
      <w:r w:rsidR="00FD0F26">
        <w:rPr>
          <w:sz w:val="24"/>
          <w:szCs w:val="24"/>
        </w:rPr>
        <w:t>clients</w:t>
      </w:r>
      <w:r w:rsidR="00A97C92">
        <w:rPr>
          <w:sz w:val="24"/>
          <w:szCs w:val="24"/>
        </w:rPr>
        <w:t xml:space="preserve"> with care who have infective endocarditis</w:t>
      </w:r>
      <w:r w:rsidR="00361D7F">
        <w:rPr>
          <w:sz w:val="24"/>
          <w:szCs w:val="24"/>
        </w:rPr>
        <w:t xml:space="preserve">, should </w:t>
      </w:r>
      <w:r w:rsidR="00A719E1">
        <w:rPr>
          <w:sz w:val="24"/>
          <w:szCs w:val="24"/>
        </w:rPr>
        <w:t xml:space="preserve">I see a client with this condition </w:t>
      </w:r>
      <w:r w:rsidR="00A97C92">
        <w:rPr>
          <w:sz w:val="24"/>
          <w:szCs w:val="24"/>
        </w:rPr>
        <w:t xml:space="preserve">I will be able to </w:t>
      </w:r>
      <w:r w:rsidR="00A719E1">
        <w:rPr>
          <w:sz w:val="24"/>
          <w:szCs w:val="24"/>
        </w:rPr>
        <w:t xml:space="preserve">follow the proper procedure to ensure safe care for my client. </w:t>
      </w:r>
    </w:p>
    <w:p w14:paraId="6FD0F032" w14:textId="77777777" w:rsidR="004D2782" w:rsidRDefault="004D2782">
      <w:pPr>
        <w:spacing w:after="200" w:line="276" w:lineRule="auto"/>
        <w:rPr>
          <w:sz w:val="24"/>
          <w:szCs w:val="24"/>
        </w:rPr>
      </w:pPr>
    </w:p>
    <w:p w14:paraId="11E49C74" w14:textId="342E5758" w:rsidR="007857B8" w:rsidRDefault="007857B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C1550A" w14:textId="77777777" w:rsidR="003559D7" w:rsidRPr="00DB4FFC" w:rsidRDefault="003559D7" w:rsidP="00DB4FFC">
      <w:pPr>
        <w:spacing w:line="480" w:lineRule="auto"/>
        <w:rPr>
          <w:sz w:val="24"/>
          <w:szCs w:val="24"/>
        </w:rPr>
        <w:sectPr w:rsidR="003559D7" w:rsidRPr="00DB4FFC" w:rsidSect="00DA546D">
          <w:headerReference w:type="default" r:id="rId7"/>
          <w:pgSz w:w="12240" w:h="15840"/>
          <w:pgMar w:top="22" w:right="900" w:bottom="1440" w:left="1440" w:header="708" w:footer="708" w:gutter="0"/>
          <w:cols w:space="708"/>
          <w:docGrid w:linePitch="360"/>
        </w:sectPr>
      </w:pPr>
    </w:p>
    <w:p w14:paraId="00AA58BB" w14:textId="77777777" w:rsidR="003559D7" w:rsidRDefault="00560755" w:rsidP="00DB4FF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LITERATURE CITED</w:t>
      </w:r>
    </w:p>
    <w:p w14:paraId="4C89D32F" w14:textId="77777777" w:rsidR="00496B2A" w:rsidRPr="00496B2A" w:rsidRDefault="00496B2A" w:rsidP="00496B2A">
      <w:pPr>
        <w:rPr>
          <w:color w:val="000000" w:themeColor="text1"/>
          <w:sz w:val="24"/>
          <w:szCs w:val="24"/>
        </w:rPr>
      </w:pPr>
      <w:r w:rsidRPr="00496B2A">
        <w:rPr>
          <w:color w:val="000000" w:themeColor="text1"/>
          <w:sz w:val="24"/>
          <w:szCs w:val="24"/>
        </w:rPr>
        <w:t xml:space="preserve"> </w:t>
      </w:r>
    </w:p>
    <w:p w14:paraId="5E77841F" w14:textId="632B7416" w:rsidR="00496B2A" w:rsidRDefault="006E1EFF" w:rsidP="00144AAA">
      <w:pPr>
        <w:ind w:left="720" w:hanging="720"/>
        <w:rPr>
          <w:rStyle w:val="Hyperlink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Cleaveland</w:t>
      </w:r>
      <w:proofErr w:type="spellEnd"/>
      <w:r>
        <w:rPr>
          <w:color w:val="000000" w:themeColor="text1"/>
          <w:sz w:val="24"/>
          <w:szCs w:val="24"/>
        </w:rPr>
        <w:t xml:space="preserve"> Clinic</w:t>
      </w:r>
      <w:r w:rsidR="00DF071A">
        <w:rPr>
          <w:color w:val="000000" w:themeColor="text1"/>
          <w:sz w:val="24"/>
          <w:szCs w:val="24"/>
        </w:rPr>
        <w:t xml:space="preserve">. </w:t>
      </w:r>
      <w:r w:rsidR="00496B2A" w:rsidRPr="00496B2A">
        <w:rPr>
          <w:color w:val="000000" w:themeColor="text1"/>
          <w:sz w:val="24"/>
          <w:szCs w:val="24"/>
        </w:rPr>
        <w:t xml:space="preserve">Endocarditis. [Internet]; 2022 April 12 [Cited 2024, June 10] Available from: </w:t>
      </w:r>
      <w:hyperlink r:id="rId8" w:history="1">
        <w:r w:rsidR="00496B2A" w:rsidRPr="00496B2A">
          <w:rPr>
            <w:rStyle w:val="Hyperlink"/>
            <w:color w:val="000000" w:themeColor="text1"/>
            <w:sz w:val="24"/>
            <w:szCs w:val="24"/>
          </w:rPr>
          <w:t>https://my.clevelandclinic.org/health/diseases/16957-endocarditis</w:t>
        </w:r>
      </w:hyperlink>
    </w:p>
    <w:p w14:paraId="55A1E60E" w14:textId="77777777" w:rsidR="00496B2A" w:rsidRPr="00496B2A" w:rsidRDefault="00496B2A" w:rsidP="00144AAA">
      <w:pPr>
        <w:ind w:left="720" w:hanging="720"/>
        <w:rPr>
          <w:color w:val="000000" w:themeColor="text1"/>
          <w:sz w:val="24"/>
          <w:szCs w:val="24"/>
        </w:rPr>
      </w:pPr>
    </w:p>
    <w:p w14:paraId="2A146F22" w14:textId="553B8BAD" w:rsidR="00496B2A" w:rsidRDefault="006E1EFF" w:rsidP="00144AAA">
      <w:pPr>
        <w:ind w:left="720" w:hanging="720"/>
        <w:rPr>
          <w:rStyle w:val="Hyperlink"/>
          <w:color w:val="1D1B11" w:themeColor="background2" w:themeShade="1A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CDHO. </w:t>
      </w:r>
      <w:r w:rsidR="00496B2A" w:rsidRPr="00496B2A">
        <w:rPr>
          <w:color w:val="000000" w:themeColor="text1"/>
          <w:sz w:val="24"/>
          <w:szCs w:val="24"/>
        </w:rPr>
        <w:t xml:space="preserve">Fact Sheet: Infective </w:t>
      </w:r>
      <w:r>
        <w:rPr>
          <w:color w:val="000000" w:themeColor="text1"/>
          <w:sz w:val="24"/>
          <w:szCs w:val="24"/>
        </w:rPr>
        <w:t>e</w:t>
      </w:r>
      <w:r w:rsidR="00496B2A" w:rsidRPr="00496B2A">
        <w:rPr>
          <w:color w:val="000000" w:themeColor="text1"/>
          <w:sz w:val="24"/>
          <w:szCs w:val="24"/>
        </w:rPr>
        <w:t xml:space="preserve">ndocarditis. [internet]; 2019 Mar 5 [Cited 2024, June 10] Available </w:t>
      </w:r>
      <w:r w:rsidR="00496B2A" w:rsidRPr="00496B2A">
        <w:rPr>
          <w:color w:val="1D1B11" w:themeColor="background2" w:themeShade="1A"/>
          <w:sz w:val="24"/>
          <w:szCs w:val="24"/>
        </w:rPr>
        <w:t xml:space="preserve">from: </w:t>
      </w:r>
      <w:hyperlink r:id="rId9" w:history="1">
        <w:r w:rsidR="00496B2A" w:rsidRPr="00496B2A">
          <w:rPr>
            <w:rStyle w:val="Hyperlink"/>
            <w:color w:val="1D1B11" w:themeColor="background2" w:themeShade="1A"/>
            <w:sz w:val="24"/>
            <w:szCs w:val="24"/>
          </w:rPr>
          <w:t>https://cdho.org/factsheets/infective-endocarditis</w:t>
        </w:r>
      </w:hyperlink>
    </w:p>
    <w:p w14:paraId="592F9DB2" w14:textId="77777777" w:rsidR="00496B2A" w:rsidRPr="00496B2A" w:rsidRDefault="00496B2A" w:rsidP="00144AAA">
      <w:pPr>
        <w:ind w:left="720" w:hanging="720"/>
        <w:rPr>
          <w:color w:val="000000" w:themeColor="text1"/>
          <w:sz w:val="24"/>
          <w:szCs w:val="24"/>
        </w:rPr>
      </w:pPr>
    </w:p>
    <w:p w14:paraId="6CF824F8" w14:textId="525347D7" w:rsidR="00496B2A" w:rsidRDefault="006E1EFF" w:rsidP="00144AAA">
      <w:pPr>
        <w:ind w:left="720" w:hanging="720"/>
        <w:rPr>
          <w:rStyle w:val="Hyperlink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CDHO. </w:t>
      </w:r>
      <w:r w:rsidR="00496B2A" w:rsidRPr="00496B2A">
        <w:rPr>
          <w:color w:val="000000" w:themeColor="text1"/>
          <w:sz w:val="24"/>
          <w:szCs w:val="24"/>
        </w:rPr>
        <w:t xml:space="preserve">Guideline: Best </w:t>
      </w:r>
      <w:r w:rsidR="00DF071A">
        <w:rPr>
          <w:color w:val="000000" w:themeColor="text1"/>
          <w:sz w:val="24"/>
          <w:szCs w:val="24"/>
        </w:rPr>
        <w:t>p</w:t>
      </w:r>
      <w:r w:rsidR="00496B2A" w:rsidRPr="00496B2A">
        <w:rPr>
          <w:color w:val="000000" w:themeColor="text1"/>
          <w:sz w:val="24"/>
          <w:szCs w:val="24"/>
        </w:rPr>
        <w:t xml:space="preserve">ractice for </w:t>
      </w:r>
      <w:r>
        <w:rPr>
          <w:color w:val="000000" w:themeColor="text1"/>
          <w:sz w:val="24"/>
          <w:szCs w:val="24"/>
        </w:rPr>
        <w:t>i</w:t>
      </w:r>
      <w:r w:rsidR="00496B2A" w:rsidRPr="00496B2A">
        <w:rPr>
          <w:color w:val="000000" w:themeColor="text1"/>
          <w:sz w:val="24"/>
          <w:szCs w:val="24"/>
        </w:rPr>
        <w:t xml:space="preserve">nitiating </w:t>
      </w:r>
      <w:r>
        <w:rPr>
          <w:color w:val="000000" w:themeColor="text1"/>
          <w:sz w:val="24"/>
          <w:szCs w:val="24"/>
        </w:rPr>
        <w:t>d</w:t>
      </w:r>
      <w:r w:rsidR="00496B2A" w:rsidRPr="00496B2A">
        <w:rPr>
          <w:color w:val="000000" w:themeColor="text1"/>
          <w:sz w:val="24"/>
          <w:szCs w:val="24"/>
        </w:rPr>
        <w:t xml:space="preserve">ental </w:t>
      </w:r>
      <w:r>
        <w:rPr>
          <w:color w:val="000000" w:themeColor="text1"/>
          <w:sz w:val="24"/>
          <w:szCs w:val="24"/>
        </w:rPr>
        <w:t>h</w:t>
      </w:r>
      <w:r w:rsidR="00496B2A" w:rsidRPr="00496B2A">
        <w:rPr>
          <w:color w:val="000000" w:themeColor="text1"/>
          <w:sz w:val="24"/>
          <w:szCs w:val="24"/>
        </w:rPr>
        <w:t xml:space="preserve">ygiene </w:t>
      </w:r>
      <w:r>
        <w:rPr>
          <w:color w:val="000000" w:themeColor="text1"/>
          <w:sz w:val="24"/>
          <w:szCs w:val="24"/>
        </w:rPr>
        <w:t>c</w:t>
      </w:r>
      <w:r w:rsidR="00496B2A" w:rsidRPr="00496B2A">
        <w:rPr>
          <w:color w:val="000000" w:themeColor="text1"/>
          <w:sz w:val="24"/>
          <w:szCs w:val="24"/>
        </w:rPr>
        <w:t xml:space="preserve">are. [Internet]; 2016 Feb [Cited 2024, June 10]. Available from: </w:t>
      </w:r>
      <w:hyperlink r:id="rId10" w:history="1">
        <w:r w:rsidR="00496B2A" w:rsidRPr="00496B2A">
          <w:rPr>
            <w:rStyle w:val="Hyperlink"/>
            <w:color w:val="000000" w:themeColor="text1"/>
            <w:sz w:val="24"/>
            <w:szCs w:val="24"/>
          </w:rPr>
          <w:t>https://cdho.org/wp-content/uploads/2023/10/GUI-Best-Practice.pdf</w:t>
        </w:r>
      </w:hyperlink>
    </w:p>
    <w:p w14:paraId="3C9A5961" w14:textId="77777777" w:rsidR="00496B2A" w:rsidRPr="00496B2A" w:rsidRDefault="00496B2A" w:rsidP="00144AAA">
      <w:pPr>
        <w:ind w:left="720" w:hanging="720"/>
        <w:rPr>
          <w:color w:val="000000" w:themeColor="text1"/>
          <w:sz w:val="24"/>
          <w:szCs w:val="24"/>
        </w:rPr>
      </w:pPr>
    </w:p>
    <w:p w14:paraId="06AF3216" w14:textId="151156CC" w:rsidR="00496B2A" w:rsidRPr="00496B2A" w:rsidRDefault="006E1EFF" w:rsidP="00144AAA">
      <w:pPr>
        <w:ind w:left="720" w:hanging="720"/>
        <w:rPr>
          <w:color w:val="1D1B11" w:themeColor="background2" w:themeShade="1A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CDHO. </w:t>
      </w:r>
      <w:r w:rsidR="00496B2A" w:rsidRPr="00496B2A">
        <w:rPr>
          <w:color w:val="000000" w:themeColor="text1"/>
          <w:sz w:val="24"/>
          <w:szCs w:val="24"/>
        </w:rPr>
        <w:t xml:space="preserve">Guideline: Recommended </w:t>
      </w:r>
      <w:r>
        <w:rPr>
          <w:color w:val="000000" w:themeColor="text1"/>
          <w:sz w:val="24"/>
          <w:szCs w:val="24"/>
        </w:rPr>
        <w:t>a</w:t>
      </w:r>
      <w:r w:rsidR="00496B2A" w:rsidRPr="00496B2A">
        <w:rPr>
          <w:color w:val="000000" w:themeColor="text1"/>
          <w:sz w:val="24"/>
          <w:szCs w:val="24"/>
        </w:rPr>
        <w:t xml:space="preserve">ntibiotic </w:t>
      </w:r>
      <w:r>
        <w:rPr>
          <w:color w:val="000000" w:themeColor="text1"/>
          <w:sz w:val="24"/>
          <w:szCs w:val="24"/>
        </w:rPr>
        <w:t>p</w:t>
      </w:r>
      <w:r w:rsidR="00496B2A" w:rsidRPr="00496B2A">
        <w:rPr>
          <w:color w:val="000000" w:themeColor="text1"/>
          <w:sz w:val="24"/>
          <w:szCs w:val="24"/>
        </w:rPr>
        <w:t xml:space="preserve">rophylaxis </w:t>
      </w:r>
      <w:r>
        <w:rPr>
          <w:color w:val="000000" w:themeColor="text1"/>
          <w:sz w:val="24"/>
          <w:szCs w:val="24"/>
        </w:rPr>
        <w:t>r</w:t>
      </w:r>
      <w:r w:rsidR="00496B2A" w:rsidRPr="00496B2A">
        <w:rPr>
          <w:color w:val="000000" w:themeColor="text1"/>
          <w:sz w:val="24"/>
          <w:szCs w:val="24"/>
        </w:rPr>
        <w:t xml:space="preserve">egimens for the </w:t>
      </w:r>
      <w:r>
        <w:rPr>
          <w:color w:val="000000" w:themeColor="text1"/>
          <w:sz w:val="24"/>
          <w:szCs w:val="24"/>
        </w:rPr>
        <w:t>p</w:t>
      </w:r>
      <w:r w:rsidR="00496B2A" w:rsidRPr="00496B2A">
        <w:rPr>
          <w:color w:val="000000" w:themeColor="text1"/>
          <w:sz w:val="24"/>
          <w:szCs w:val="24"/>
        </w:rPr>
        <w:t xml:space="preserve">revention of </w:t>
      </w:r>
      <w:r>
        <w:rPr>
          <w:color w:val="000000" w:themeColor="text1"/>
          <w:sz w:val="24"/>
          <w:szCs w:val="24"/>
        </w:rPr>
        <w:t>i</w:t>
      </w:r>
      <w:r w:rsidR="00496B2A" w:rsidRPr="00496B2A">
        <w:rPr>
          <w:color w:val="000000" w:themeColor="text1"/>
          <w:sz w:val="24"/>
          <w:szCs w:val="24"/>
        </w:rPr>
        <w:t xml:space="preserve">nfective </w:t>
      </w:r>
      <w:r>
        <w:rPr>
          <w:color w:val="000000" w:themeColor="text1"/>
          <w:sz w:val="24"/>
          <w:szCs w:val="24"/>
        </w:rPr>
        <w:t>e</w:t>
      </w:r>
      <w:r w:rsidR="00496B2A" w:rsidRPr="00496B2A">
        <w:rPr>
          <w:color w:val="000000" w:themeColor="text1"/>
          <w:sz w:val="24"/>
          <w:szCs w:val="24"/>
        </w:rPr>
        <w:t xml:space="preserve">ndocarditis and </w:t>
      </w:r>
      <w:r>
        <w:rPr>
          <w:color w:val="000000" w:themeColor="text1"/>
          <w:sz w:val="24"/>
          <w:szCs w:val="24"/>
        </w:rPr>
        <w:t>h</w:t>
      </w:r>
      <w:r w:rsidR="00496B2A" w:rsidRPr="00496B2A">
        <w:rPr>
          <w:color w:val="000000" w:themeColor="text1"/>
          <w:sz w:val="24"/>
          <w:szCs w:val="24"/>
        </w:rPr>
        <w:t xml:space="preserve">ematogenous </w:t>
      </w:r>
      <w:r>
        <w:rPr>
          <w:color w:val="000000" w:themeColor="text1"/>
          <w:sz w:val="24"/>
          <w:szCs w:val="24"/>
        </w:rPr>
        <w:t>j</w:t>
      </w:r>
      <w:r w:rsidR="00496B2A" w:rsidRPr="00496B2A">
        <w:rPr>
          <w:color w:val="000000" w:themeColor="text1"/>
          <w:sz w:val="24"/>
          <w:szCs w:val="24"/>
        </w:rPr>
        <w:t xml:space="preserve">oint </w:t>
      </w:r>
      <w:r>
        <w:rPr>
          <w:color w:val="000000" w:themeColor="text1"/>
          <w:sz w:val="24"/>
          <w:szCs w:val="24"/>
        </w:rPr>
        <w:t>i</w:t>
      </w:r>
      <w:r w:rsidR="00496B2A" w:rsidRPr="00496B2A">
        <w:rPr>
          <w:color w:val="000000" w:themeColor="text1"/>
          <w:sz w:val="24"/>
          <w:szCs w:val="24"/>
        </w:rPr>
        <w:t>nfection. [Internet</w:t>
      </w:r>
      <w:r w:rsidR="00DF071A">
        <w:rPr>
          <w:color w:val="000000" w:themeColor="text1"/>
          <w:sz w:val="24"/>
          <w:szCs w:val="24"/>
        </w:rPr>
        <w:t>]</w:t>
      </w:r>
      <w:r w:rsidR="00496B2A" w:rsidRPr="00496B2A">
        <w:rPr>
          <w:color w:val="000000" w:themeColor="text1"/>
          <w:sz w:val="24"/>
          <w:szCs w:val="24"/>
        </w:rPr>
        <w:t xml:space="preserve">; 2023 Aug 7 [Cited 2024, June 10]. </w:t>
      </w:r>
      <w:r w:rsidR="00496B2A" w:rsidRPr="00496B2A">
        <w:rPr>
          <w:color w:val="1D1B11" w:themeColor="background2" w:themeShade="1A"/>
          <w:sz w:val="24"/>
          <w:szCs w:val="24"/>
        </w:rPr>
        <w:t xml:space="preserve">Available from: </w:t>
      </w:r>
      <w:hyperlink r:id="rId11" w:history="1">
        <w:r w:rsidR="00496B2A" w:rsidRPr="00496B2A">
          <w:rPr>
            <w:rStyle w:val="Hyperlink"/>
            <w:color w:val="1D1B11" w:themeColor="background2" w:themeShade="1A"/>
            <w:sz w:val="24"/>
            <w:szCs w:val="24"/>
          </w:rPr>
          <w:t>https://cdho.org/wp-content/uploads/2023/11/GUI-Antibiotic-Prophylaxis.pdf</w:t>
        </w:r>
      </w:hyperlink>
    </w:p>
    <w:p w14:paraId="47E19866" w14:textId="77777777" w:rsidR="007C07DA" w:rsidRDefault="007C07DA" w:rsidP="00DB4FFC">
      <w:pPr>
        <w:jc w:val="center"/>
        <w:rPr>
          <w:sz w:val="24"/>
          <w:szCs w:val="24"/>
        </w:rPr>
      </w:pPr>
    </w:p>
    <w:p w14:paraId="7BE78CF4" w14:textId="396A846B" w:rsidR="007C07DA" w:rsidRDefault="007C07DA" w:rsidP="00DB4FFC">
      <w:pPr>
        <w:jc w:val="center"/>
        <w:rPr>
          <w:sz w:val="24"/>
          <w:szCs w:val="24"/>
        </w:rPr>
        <w:sectPr w:rsidR="007C07DA" w:rsidSect="00DA546D">
          <w:pgSz w:w="12240" w:h="15840"/>
          <w:pgMar w:top="22" w:right="900" w:bottom="1440" w:left="1440" w:header="708" w:footer="708" w:gutter="0"/>
          <w:cols w:space="708"/>
          <w:docGrid w:linePitch="360"/>
        </w:sectPr>
      </w:pPr>
    </w:p>
    <w:p w14:paraId="74BFE4AF" w14:textId="784A513B" w:rsidR="00AB6699" w:rsidRPr="00560755" w:rsidRDefault="00AB6699" w:rsidP="00DB4FFC">
      <w:pPr>
        <w:jc w:val="center"/>
        <w:rPr>
          <w:sz w:val="24"/>
          <w:szCs w:val="24"/>
        </w:rPr>
      </w:pPr>
    </w:p>
    <w:p w14:paraId="26522269" w14:textId="77777777" w:rsidR="00912C3D" w:rsidRPr="00912C3D" w:rsidRDefault="00912C3D" w:rsidP="00DB4FFC">
      <w:pPr>
        <w:rPr>
          <w:sz w:val="24"/>
          <w:szCs w:val="24"/>
        </w:rPr>
      </w:pPr>
    </w:p>
    <w:p w14:paraId="45CE7BD2" w14:textId="77777777" w:rsidR="00912C3D" w:rsidRPr="00E304DE" w:rsidRDefault="00912C3D" w:rsidP="00DA546D">
      <w:pPr>
        <w:rPr>
          <w:sz w:val="10"/>
          <w:szCs w:val="1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3611"/>
        <w:gridCol w:w="3679"/>
        <w:gridCol w:w="874"/>
      </w:tblGrid>
      <w:tr w:rsidR="00DA546D" w14:paraId="58E6D5E8" w14:textId="77777777" w:rsidTr="00A84751">
        <w:trPr>
          <w:trHeight w:val="454"/>
        </w:trPr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A870C1C" w14:textId="77777777" w:rsidR="00DA546D" w:rsidRPr="009B3928" w:rsidRDefault="00DA546D" w:rsidP="00A57A8D">
            <w:pPr>
              <w:jc w:val="center"/>
              <w:rPr>
                <w:b/>
              </w:rPr>
            </w:pPr>
            <w:r w:rsidRPr="009B3928">
              <w:rPr>
                <w:b/>
              </w:rPr>
              <w:t>Criteria</w:t>
            </w:r>
          </w:p>
        </w:tc>
        <w:tc>
          <w:tcPr>
            <w:tcW w:w="3725" w:type="dxa"/>
            <w:shd w:val="clear" w:color="auto" w:fill="F2F2F2" w:themeFill="background1" w:themeFillShade="F2"/>
            <w:vAlign w:val="center"/>
          </w:tcPr>
          <w:p w14:paraId="19E84E3D" w14:textId="77777777" w:rsidR="00DA546D" w:rsidRPr="00E304DE" w:rsidRDefault="00DA546D" w:rsidP="00A57A8D">
            <w:pPr>
              <w:jc w:val="center"/>
            </w:pPr>
            <w:r w:rsidRPr="009B3928">
              <w:rPr>
                <w:b/>
              </w:rPr>
              <w:t>Meets Expectations - Successful (S)</w:t>
            </w:r>
          </w:p>
        </w:tc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000E3941" w14:textId="77777777" w:rsidR="00DA546D" w:rsidRPr="00E304DE" w:rsidRDefault="00DA546D" w:rsidP="00A57A8D">
            <w:pPr>
              <w:jc w:val="center"/>
            </w:pPr>
            <w:r w:rsidRPr="009B3928">
              <w:rPr>
                <w:b/>
              </w:rPr>
              <w:t>Below Expectations - Unsuccessful (U)</w:t>
            </w:r>
          </w:p>
        </w:tc>
        <w:tc>
          <w:tcPr>
            <w:tcW w:w="884" w:type="dxa"/>
            <w:shd w:val="clear" w:color="auto" w:fill="F2F2F2" w:themeFill="background1" w:themeFillShade="F2"/>
            <w:vAlign w:val="center"/>
          </w:tcPr>
          <w:p w14:paraId="3CB723D7" w14:textId="7EBCC58F" w:rsidR="00DA546D" w:rsidRPr="009B3928" w:rsidRDefault="00BF6B98" w:rsidP="00A57A8D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DA546D" w14:paraId="078AC64D" w14:textId="77777777" w:rsidTr="00A84751">
        <w:tc>
          <w:tcPr>
            <w:tcW w:w="1804" w:type="dxa"/>
            <w:shd w:val="clear" w:color="auto" w:fill="auto"/>
            <w:vAlign w:val="center"/>
          </w:tcPr>
          <w:p w14:paraId="65CDF0FB" w14:textId="77777777" w:rsidR="00DA546D" w:rsidRPr="003559D7" w:rsidRDefault="00DA546D" w:rsidP="00DB0534">
            <w:pPr>
              <w:jc w:val="center"/>
              <w:rPr>
                <w:b/>
                <w:bCs/>
                <w:sz w:val="22"/>
                <w:szCs w:val="19"/>
              </w:rPr>
            </w:pPr>
            <w:r w:rsidRPr="003559D7">
              <w:rPr>
                <w:b/>
                <w:bCs/>
                <w:sz w:val="22"/>
                <w:szCs w:val="19"/>
              </w:rPr>
              <w:t>Content</w:t>
            </w:r>
          </w:p>
          <w:p w14:paraId="06161E84" w14:textId="77777777" w:rsidR="003559D7" w:rsidRPr="003559D7" w:rsidRDefault="003559D7" w:rsidP="00DB0534">
            <w:pPr>
              <w:jc w:val="center"/>
              <w:rPr>
                <w:b/>
                <w:bCs/>
                <w:sz w:val="22"/>
                <w:szCs w:val="19"/>
              </w:rPr>
            </w:pPr>
          </w:p>
          <w:p w14:paraId="2AA914DA" w14:textId="789E7B48" w:rsidR="003559D7" w:rsidRPr="003559D7" w:rsidRDefault="003559D7" w:rsidP="00DB0534">
            <w:pPr>
              <w:jc w:val="center"/>
              <w:rPr>
                <w:b/>
                <w:bCs/>
                <w:sz w:val="22"/>
                <w:szCs w:val="19"/>
              </w:rPr>
            </w:pPr>
            <w:r w:rsidRPr="003559D7">
              <w:rPr>
                <w:b/>
                <w:bCs/>
                <w:sz w:val="22"/>
                <w:szCs w:val="19"/>
              </w:rPr>
              <w:t>/ 2</w:t>
            </w:r>
          </w:p>
        </w:tc>
        <w:tc>
          <w:tcPr>
            <w:tcW w:w="3725" w:type="dxa"/>
            <w:shd w:val="clear" w:color="auto" w:fill="auto"/>
          </w:tcPr>
          <w:p w14:paraId="3391B46E" w14:textId="77777777" w:rsidR="00DA546D" w:rsidRPr="00BF6B98" w:rsidRDefault="00DA546D" w:rsidP="00A57A8D">
            <w:pPr>
              <w:pStyle w:val="ListParagraph"/>
              <w:numPr>
                <w:ilvl w:val="0"/>
                <w:numId w:val="1"/>
              </w:numPr>
              <w:rPr>
                <w:b/>
                <w:szCs w:val="18"/>
              </w:rPr>
            </w:pPr>
            <w:r w:rsidRPr="00BF6B98">
              <w:rPr>
                <w:szCs w:val="18"/>
              </w:rPr>
              <w:t>Describes the topic with sufficient detail.</w:t>
            </w:r>
          </w:p>
          <w:p w14:paraId="77C3B381" w14:textId="77777777" w:rsidR="00DA546D" w:rsidRPr="00BF6B98" w:rsidRDefault="00DA546D" w:rsidP="00A57A8D">
            <w:pPr>
              <w:pStyle w:val="ListParagraph"/>
              <w:numPr>
                <w:ilvl w:val="0"/>
                <w:numId w:val="1"/>
              </w:numPr>
              <w:rPr>
                <w:b/>
                <w:szCs w:val="18"/>
              </w:rPr>
            </w:pPr>
            <w:r w:rsidRPr="00BF6B98">
              <w:rPr>
                <w:szCs w:val="18"/>
              </w:rPr>
              <w:t>Usually focuses on important information and details.</w:t>
            </w:r>
          </w:p>
          <w:p w14:paraId="29CA4A02" w14:textId="77777777" w:rsidR="00DA546D" w:rsidRPr="00BF6B98" w:rsidRDefault="00DA546D" w:rsidP="00A57A8D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Usually identifies key points / relationships between ideas.</w:t>
            </w:r>
          </w:p>
          <w:p w14:paraId="5086092A" w14:textId="77777777" w:rsidR="00DA546D" w:rsidRPr="00BF6B98" w:rsidRDefault="00DA546D" w:rsidP="00A57A8D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Explanations are sufficiently focused and developed, and usually logical.</w:t>
            </w:r>
          </w:p>
          <w:p w14:paraId="411A7350" w14:textId="77777777" w:rsidR="00DA546D" w:rsidRPr="00BF6B98" w:rsidRDefault="00DA546D" w:rsidP="00A57A8D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Usually supports ideas with sound rationales and/or relevant evidence (including references).</w:t>
            </w:r>
          </w:p>
          <w:p w14:paraId="2EC6A2D9" w14:textId="77777777" w:rsidR="00DA546D" w:rsidRPr="00BF6B98" w:rsidRDefault="00DA546D" w:rsidP="00A57A8D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Demonstrates an adequate level of critical thinking ability.</w:t>
            </w:r>
          </w:p>
          <w:p w14:paraId="1562300F" w14:textId="77777777" w:rsidR="00DA546D" w:rsidRPr="00BF6B98" w:rsidRDefault="00DA546D" w:rsidP="00A57A8D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Relates the topic to previous experiences and/or to dental hygiene theory and /practice with adequate depth.</w:t>
            </w:r>
          </w:p>
        </w:tc>
        <w:tc>
          <w:tcPr>
            <w:tcW w:w="3794" w:type="dxa"/>
            <w:shd w:val="clear" w:color="auto" w:fill="auto"/>
          </w:tcPr>
          <w:p w14:paraId="72DA5F07" w14:textId="77777777" w:rsidR="00DA546D" w:rsidRPr="00BF6B98" w:rsidRDefault="00DA546D" w:rsidP="00A57A8D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Does not describe the topic with sufficient detail.</w:t>
            </w:r>
          </w:p>
          <w:p w14:paraId="3E7C767F" w14:textId="77777777" w:rsidR="00DA546D" w:rsidRPr="00BF6B98" w:rsidRDefault="00DA546D" w:rsidP="00A57A8D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Does not focus on important information or details.</w:t>
            </w:r>
          </w:p>
          <w:p w14:paraId="47DAAFCB" w14:textId="77777777" w:rsidR="00DA546D" w:rsidRPr="00BF6B98" w:rsidRDefault="00DA546D" w:rsidP="00A57A8D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Often fails to identify key points / relationship(s) between ideas.</w:t>
            </w:r>
          </w:p>
          <w:p w14:paraId="2B96C76E" w14:textId="77777777" w:rsidR="00DA546D" w:rsidRPr="00BF6B98" w:rsidRDefault="00DA546D" w:rsidP="00A57A8D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 xml:space="preserve">Explanations are often tenuous and vague, not fully developed, and/or not logical. </w:t>
            </w:r>
          </w:p>
          <w:p w14:paraId="526D81C7" w14:textId="77777777" w:rsidR="00DA546D" w:rsidRPr="00BF6B98" w:rsidRDefault="00DA546D" w:rsidP="00A57A8D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Provides little or no support or rationales for ideas (including references).</w:t>
            </w:r>
          </w:p>
          <w:p w14:paraId="4E189FAF" w14:textId="77777777" w:rsidR="00DA546D" w:rsidRPr="00BF6B98" w:rsidRDefault="00DA546D" w:rsidP="00A57A8D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Demonstrates some, but limited, critical thinking ability.</w:t>
            </w:r>
          </w:p>
          <w:p w14:paraId="21B2E819" w14:textId="77777777" w:rsidR="00DA546D" w:rsidRPr="00BF6B98" w:rsidRDefault="00DA546D" w:rsidP="00A57A8D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Does not relate the topic to previous experiences and/or to dental hygiene theory and /practice.</w:t>
            </w:r>
          </w:p>
        </w:tc>
        <w:tc>
          <w:tcPr>
            <w:tcW w:w="884" w:type="dxa"/>
            <w:shd w:val="clear" w:color="auto" w:fill="auto"/>
          </w:tcPr>
          <w:p w14:paraId="677ED3A8" w14:textId="77777777" w:rsidR="00DA546D" w:rsidRPr="00E304DE" w:rsidRDefault="00DA546D" w:rsidP="00A57A8D"/>
        </w:tc>
      </w:tr>
      <w:tr w:rsidR="00DA546D" w14:paraId="502464AE" w14:textId="77777777" w:rsidTr="00A84751">
        <w:tc>
          <w:tcPr>
            <w:tcW w:w="1804" w:type="dxa"/>
            <w:shd w:val="clear" w:color="auto" w:fill="auto"/>
            <w:vAlign w:val="center"/>
          </w:tcPr>
          <w:p w14:paraId="734F234E" w14:textId="77777777" w:rsidR="003559D7" w:rsidRPr="003559D7" w:rsidRDefault="00DA546D" w:rsidP="00A57A8D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  <w:r w:rsidRPr="003559D7">
              <w:rPr>
                <w:b/>
                <w:bCs/>
                <w:sz w:val="22"/>
                <w:szCs w:val="19"/>
              </w:rPr>
              <w:t>Communication</w:t>
            </w:r>
          </w:p>
          <w:p w14:paraId="309A663A" w14:textId="77777777" w:rsidR="003559D7" w:rsidRPr="003559D7" w:rsidRDefault="003559D7" w:rsidP="00A57A8D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</w:p>
          <w:p w14:paraId="71E62B85" w14:textId="0EA5F5DA" w:rsidR="00DA546D" w:rsidRPr="003559D7" w:rsidRDefault="003559D7" w:rsidP="00A57A8D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  <w:r w:rsidRPr="003559D7">
              <w:rPr>
                <w:b/>
                <w:bCs/>
                <w:sz w:val="22"/>
                <w:szCs w:val="19"/>
              </w:rPr>
              <w:t>/ 1</w:t>
            </w:r>
            <w:r w:rsidR="00DA546D" w:rsidRPr="003559D7">
              <w:rPr>
                <w:b/>
                <w:bCs/>
                <w:sz w:val="22"/>
                <w:szCs w:val="19"/>
              </w:rPr>
              <w:t xml:space="preserve"> </w:t>
            </w:r>
          </w:p>
        </w:tc>
        <w:tc>
          <w:tcPr>
            <w:tcW w:w="3725" w:type="dxa"/>
            <w:shd w:val="clear" w:color="auto" w:fill="auto"/>
          </w:tcPr>
          <w:p w14:paraId="26208C52" w14:textId="77777777" w:rsidR="00DA546D" w:rsidRPr="00BF6B98" w:rsidRDefault="00DA546D" w:rsidP="00A57A8D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proofErr w:type="gramStart"/>
            <w:r w:rsidRPr="00BF6B98">
              <w:rPr>
                <w:sz w:val="20"/>
                <w:szCs w:val="18"/>
              </w:rPr>
              <w:t>Generally</w:t>
            </w:r>
            <w:proofErr w:type="gramEnd"/>
            <w:r w:rsidRPr="00BF6B98">
              <w:rPr>
                <w:sz w:val="20"/>
                <w:szCs w:val="18"/>
              </w:rPr>
              <w:t xml:space="preserve"> uses a fluid style of writing that informs and convinces. </w:t>
            </w:r>
          </w:p>
          <w:p w14:paraId="49B3FB22" w14:textId="77777777" w:rsidR="00DA546D" w:rsidRPr="00BF6B98" w:rsidRDefault="00DA546D" w:rsidP="00A57A8D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Usually uses professional terminology.</w:t>
            </w:r>
          </w:p>
          <w:p w14:paraId="18B61CEC" w14:textId="77777777" w:rsidR="00DA546D" w:rsidRPr="00BF6B98" w:rsidRDefault="00DA546D" w:rsidP="00A57A8D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Usually sequences ideas logically.</w:t>
            </w:r>
          </w:p>
          <w:p w14:paraId="1D804DD9" w14:textId="77777777" w:rsidR="00DA546D" w:rsidRPr="00BF6B98" w:rsidRDefault="00DA546D" w:rsidP="00A57A8D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Uses English language conventions in a satisfactory manner; may include some weaknesses, but no meaning is lost.</w:t>
            </w:r>
          </w:p>
        </w:tc>
        <w:tc>
          <w:tcPr>
            <w:tcW w:w="3794" w:type="dxa"/>
            <w:shd w:val="clear" w:color="auto" w:fill="auto"/>
          </w:tcPr>
          <w:p w14:paraId="5E373594" w14:textId="77777777" w:rsidR="00DA546D" w:rsidRPr="00BF6B98" w:rsidRDefault="00DA546D" w:rsidP="00A57A8D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Demonstrates a lack of coherency and clarity in the writing.</w:t>
            </w:r>
          </w:p>
          <w:p w14:paraId="070F4E01" w14:textId="77777777" w:rsidR="00DA546D" w:rsidRPr="00BF6B98" w:rsidRDefault="00DA546D" w:rsidP="00A57A8D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Limited or no use of professional terminology.</w:t>
            </w:r>
          </w:p>
          <w:p w14:paraId="71302AAB" w14:textId="77777777" w:rsidR="00DA546D" w:rsidRPr="00BF6B98" w:rsidRDefault="00DA546D" w:rsidP="00A57A8D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Ideas not logically sequenced.</w:t>
            </w:r>
          </w:p>
          <w:p w14:paraId="5FE1C5B3" w14:textId="77777777" w:rsidR="00DA546D" w:rsidRPr="00BF6B98" w:rsidRDefault="00DA546D" w:rsidP="00A57A8D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Often fails to integrate English language conventions and /or meaning is lost</w:t>
            </w:r>
          </w:p>
        </w:tc>
        <w:tc>
          <w:tcPr>
            <w:tcW w:w="884" w:type="dxa"/>
            <w:shd w:val="clear" w:color="auto" w:fill="auto"/>
          </w:tcPr>
          <w:p w14:paraId="736A4D4C" w14:textId="77777777" w:rsidR="00DA546D" w:rsidRPr="00E304DE" w:rsidRDefault="00DA546D" w:rsidP="00A57A8D"/>
        </w:tc>
      </w:tr>
      <w:tr w:rsidR="00DA546D" w14:paraId="69541A41" w14:textId="77777777" w:rsidTr="00A84751">
        <w:trPr>
          <w:trHeight w:val="567"/>
        </w:trPr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1F373BA8" w14:textId="77777777" w:rsidR="00DA546D" w:rsidRPr="0018301D" w:rsidRDefault="00DA546D" w:rsidP="00A57A8D">
            <w:pPr>
              <w:rPr>
                <w:b/>
                <w:sz w:val="22"/>
                <w:szCs w:val="22"/>
              </w:rPr>
            </w:pPr>
            <w:r w:rsidRPr="0018301D">
              <w:rPr>
                <w:b/>
                <w:sz w:val="22"/>
                <w:szCs w:val="22"/>
              </w:rPr>
              <w:t xml:space="preserve">Faculty Name: </w:t>
            </w:r>
          </w:p>
        </w:tc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24F86AB5" w14:textId="5DDC6836" w:rsidR="00DA546D" w:rsidRPr="0018301D" w:rsidRDefault="00A84751" w:rsidP="00A57A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84" w:type="dxa"/>
            <w:shd w:val="clear" w:color="auto" w:fill="F2F2F2" w:themeFill="background1" w:themeFillShade="F2"/>
            <w:vAlign w:val="center"/>
          </w:tcPr>
          <w:p w14:paraId="692270F3" w14:textId="26742222" w:rsidR="00DA546D" w:rsidRPr="0018301D" w:rsidRDefault="00DA546D" w:rsidP="00A57A8D">
            <w:pPr>
              <w:jc w:val="center"/>
              <w:rPr>
                <w:b/>
                <w:sz w:val="22"/>
                <w:szCs w:val="22"/>
              </w:rPr>
            </w:pPr>
            <w:r w:rsidRPr="0018301D">
              <w:rPr>
                <w:b/>
                <w:sz w:val="22"/>
                <w:szCs w:val="22"/>
              </w:rPr>
              <w:t xml:space="preserve"> / </w:t>
            </w:r>
            <w:r w:rsidR="003559D7">
              <w:rPr>
                <w:b/>
                <w:sz w:val="22"/>
                <w:szCs w:val="22"/>
              </w:rPr>
              <w:t>3</w:t>
            </w:r>
          </w:p>
        </w:tc>
      </w:tr>
    </w:tbl>
    <w:p w14:paraId="4854B5AA" w14:textId="77777777" w:rsidR="00C65FAF" w:rsidRDefault="00C65FAF" w:rsidP="00DA546D"/>
    <w:sectPr w:rsidR="00C65FAF" w:rsidSect="00DA546D">
      <w:pgSz w:w="12240" w:h="15840"/>
      <w:pgMar w:top="22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8083" w14:textId="77777777" w:rsidR="00495EE5" w:rsidRDefault="00495EE5">
      <w:r>
        <w:separator/>
      </w:r>
    </w:p>
  </w:endnote>
  <w:endnote w:type="continuationSeparator" w:id="0">
    <w:p w14:paraId="16ED3B66" w14:textId="77777777" w:rsidR="00495EE5" w:rsidRDefault="0049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35E7" w14:textId="77777777" w:rsidR="00495EE5" w:rsidRDefault="00495EE5">
      <w:r>
        <w:separator/>
      </w:r>
    </w:p>
  </w:footnote>
  <w:footnote w:type="continuationSeparator" w:id="0">
    <w:p w14:paraId="1D001655" w14:textId="77777777" w:rsidR="00495EE5" w:rsidRDefault="0049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BCAE" w14:textId="27015D79" w:rsidR="00DB0534" w:rsidRDefault="00DB0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750E9"/>
    <w:multiLevelType w:val="hybridMultilevel"/>
    <w:tmpl w:val="A13E7A5A"/>
    <w:lvl w:ilvl="0" w:tplc="1009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" w15:restartNumberingAfterBreak="0">
    <w:nsid w:val="23C74016"/>
    <w:multiLevelType w:val="hybridMultilevel"/>
    <w:tmpl w:val="B8869468"/>
    <w:lvl w:ilvl="0" w:tplc="967C8A6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02700">
    <w:abstractNumId w:val="1"/>
  </w:num>
  <w:num w:numId="2" w16cid:durableId="209789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6D"/>
    <w:rsid w:val="00000549"/>
    <w:rsid w:val="0002337B"/>
    <w:rsid w:val="000317CD"/>
    <w:rsid w:val="00047BC5"/>
    <w:rsid w:val="00051EB0"/>
    <w:rsid w:val="0007307B"/>
    <w:rsid w:val="00080713"/>
    <w:rsid w:val="00082837"/>
    <w:rsid w:val="0008451A"/>
    <w:rsid w:val="0009171B"/>
    <w:rsid w:val="00094C3B"/>
    <w:rsid w:val="000A6FEF"/>
    <w:rsid w:val="000E3E2B"/>
    <w:rsid w:val="000E6DAB"/>
    <w:rsid w:val="000E7D81"/>
    <w:rsid w:val="000F0770"/>
    <w:rsid w:val="000F739B"/>
    <w:rsid w:val="001018C8"/>
    <w:rsid w:val="00117E9E"/>
    <w:rsid w:val="00122292"/>
    <w:rsid w:val="00124598"/>
    <w:rsid w:val="0014184F"/>
    <w:rsid w:val="0014412D"/>
    <w:rsid w:val="00144AAA"/>
    <w:rsid w:val="0015378C"/>
    <w:rsid w:val="00162A85"/>
    <w:rsid w:val="00180EA5"/>
    <w:rsid w:val="00182B45"/>
    <w:rsid w:val="00182DC7"/>
    <w:rsid w:val="0018301D"/>
    <w:rsid w:val="00195491"/>
    <w:rsid w:val="001A0B8C"/>
    <w:rsid w:val="001D3564"/>
    <w:rsid w:val="001E0047"/>
    <w:rsid w:val="00200DE6"/>
    <w:rsid w:val="002016B5"/>
    <w:rsid w:val="002067EA"/>
    <w:rsid w:val="0021601B"/>
    <w:rsid w:val="00221AEC"/>
    <w:rsid w:val="002240F7"/>
    <w:rsid w:val="00232C25"/>
    <w:rsid w:val="00246B62"/>
    <w:rsid w:val="002629FE"/>
    <w:rsid w:val="00280710"/>
    <w:rsid w:val="00295B84"/>
    <w:rsid w:val="0029694F"/>
    <w:rsid w:val="002B60CD"/>
    <w:rsid w:val="002B7491"/>
    <w:rsid w:val="002D5107"/>
    <w:rsid w:val="00301B3D"/>
    <w:rsid w:val="00313C0D"/>
    <w:rsid w:val="00326F5C"/>
    <w:rsid w:val="00341E05"/>
    <w:rsid w:val="00347D94"/>
    <w:rsid w:val="003559D7"/>
    <w:rsid w:val="00361D7F"/>
    <w:rsid w:val="00375912"/>
    <w:rsid w:val="003914EC"/>
    <w:rsid w:val="003926A6"/>
    <w:rsid w:val="003A5950"/>
    <w:rsid w:val="003B1861"/>
    <w:rsid w:val="003D3674"/>
    <w:rsid w:val="003F5A64"/>
    <w:rsid w:val="004141C7"/>
    <w:rsid w:val="00420367"/>
    <w:rsid w:val="00447350"/>
    <w:rsid w:val="00470C4A"/>
    <w:rsid w:val="00495EE5"/>
    <w:rsid w:val="00496B2A"/>
    <w:rsid w:val="004D2782"/>
    <w:rsid w:val="004D45EE"/>
    <w:rsid w:val="004E4D7C"/>
    <w:rsid w:val="004E78F4"/>
    <w:rsid w:val="004F5279"/>
    <w:rsid w:val="005117FF"/>
    <w:rsid w:val="00513EBC"/>
    <w:rsid w:val="00546788"/>
    <w:rsid w:val="00554E1F"/>
    <w:rsid w:val="00560755"/>
    <w:rsid w:val="0056564A"/>
    <w:rsid w:val="00567793"/>
    <w:rsid w:val="00584B1F"/>
    <w:rsid w:val="005865C7"/>
    <w:rsid w:val="00586B91"/>
    <w:rsid w:val="00593F41"/>
    <w:rsid w:val="005A7DF8"/>
    <w:rsid w:val="005B7DC8"/>
    <w:rsid w:val="005C5E71"/>
    <w:rsid w:val="005D0043"/>
    <w:rsid w:val="005D23D7"/>
    <w:rsid w:val="005E7835"/>
    <w:rsid w:val="005F13C2"/>
    <w:rsid w:val="005F3BE2"/>
    <w:rsid w:val="0063597C"/>
    <w:rsid w:val="00662249"/>
    <w:rsid w:val="00691422"/>
    <w:rsid w:val="00691524"/>
    <w:rsid w:val="006A0CA2"/>
    <w:rsid w:val="006A4F46"/>
    <w:rsid w:val="006E1EFF"/>
    <w:rsid w:val="0071330A"/>
    <w:rsid w:val="0074456E"/>
    <w:rsid w:val="00745995"/>
    <w:rsid w:val="00756657"/>
    <w:rsid w:val="0076370A"/>
    <w:rsid w:val="007772EA"/>
    <w:rsid w:val="00777B60"/>
    <w:rsid w:val="007857B8"/>
    <w:rsid w:val="00791B2C"/>
    <w:rsid w:val="007B7554"/>
    <w:rsid w:val="007C07DA"/>
    <w:rsid w:val="007C279D"/>
    <w:rsid w:val="007E5F26"/>
    <w:rsid w:val="008136D1"/>
    <w:rsid w:val="00827596"/>
    <w:rsid w:val="00862FD6"/>
    <w:rsid w:val="00870A7F"/>
    <w:rsid w:val="0087242A"/>
    <w:rsid w:val="00874502"/>
    <w:rsid w:val="008A2A4C"/>
    <w:rsid w:val="008D55B3"/>
    <w:rsid w:val="0090238E"/>
    <w:rsid w:val="00912C3D"/>
    <w:rsid w:val="0092291B"/>
    <w:rsid w:val="009356ED"/>
    <w:rsid w:val="00940E12"/>
    <w:rsid w:val="0094167D"/>
    <w:rsid w:val="00956E6D"/>
    <w:rsid w:val="00967E57"/>
    <w:rsid w:val="009A3B13"/>
    <w:rsid w:val="009A6690"/>
    <w:rsid w:val="009B408F"/>
    <w:rsid w:val="009B6ED6"/>
    <w:rsid w:val="009D3DB9"/>
    <w:rsid w:val="009D52EF"/>
    <w:rsid w:val="009E3C3B"/>
    <w:rsid w:val="009E5882"/>
    <w:rsid w:val="009F16F6"/>
    <w:rsid w:val="00A34051"/>
    <w:rsid w:val="00A56131"/>
    <w:rsid w:val="00A66738"/>
    <w:rsid w:val="00A70069"/>
    <w:rsid w:val="00A719E1"/>
    <w:rsid w:val="00A732FA"/>
    <w:rsid w:val="00A83253"/>
    <w:rsid w:val="00A84751"/>
    <w:rsid w:val="00A8520B"/>
    <w:rsid w:val="00A97C92"/>
    <w:rsid w:val="00AB5F87"/>
    <w:rsid w:val="00AB6699"/>
    <w:rsid w:val="00AC6F15"/>
    <w:rsid w:val="00AD626C"/>
    <w:rsid w:val="00B24CDC"/>
    <w:rsid w:val="00B63707"/>
    <w:rsid w:val="00B8557D"/>
    <w:rsid w:val="00B95E48"/>
    <w:rsid w:val="00BB76DC"/>
    <w:rsid w:val="00BB7C5A"/>
    <w:rsid w:val="00BD243D"/>
    <w:rsid w:val="00BD5552"/>
    <w:rsid w:val="00BE2556"/>
    <w:rsid w:val="00BE4853"/>
    <w:rsid w:val="00BF1588"/>
    <w:rsid w:val="00BF3A33"/>
    <w:rsid w:val="00BF6B98"/>
    <w:rsid w:val="00C23693"/>
    <w:rsid w:val="00C5343D"/>
    <w:rsid w:val="00C65FAF"/>
    <w:rsid w:val="00C75436"/>
    <w:rsid w:val="00C77849"/>
    <w:rsid w:val="00C84128"/>
    <w:rsid w:val="00C94737"/>
    <w:rsid w:val="00C95CCD"/>
    <w:rsid w:val="00CA079E"/>
    <w:rsid w:val="00CB1632"/>
    <w:rsid w:val="00CD4567"/>
    <w:rsid w:val="00CE7DB7"/>
    <w:rsid w:val="00D006E2"/>
    <w:rsid w:val="00D1025E"/>
    <w:rsid w:val="00D26377"/>
    <w:rsid w:val="00D33A4F"/>
    <w:rsid w:val="00D53FDC"/>
    <w:rsid w:val="00D960D2"/>
    <w:rsid w:val="00DA34DB"/>
    <w:rsid w:val="00DA546D"/>
    <w:rsid w:val="00DB0534"/>
    <w:rsid w:val="00DB4FFC"/>
    <w:rsid w:val="00DD4672"/>
    <w:rsid w:val="00DE7068"/>
    <w:rsid w:val="00DF071A"/>
    <w:rsid w:val="00DF6D16"/>
    <w:rsid w:val="00E006C0"/>
    <w:rsid w:val="00E00D98"/>
    <w:rsid w:val="00E05C5A"/>
    <w:rsid w:val="00E146DF"/>
    <w:rsid w:val="00E238D3"/>
    <w:rsid w:val="00E25F1E"/>
    <w:rsid w:val="00E90669"/>
    <w:rsid w:val="00EC41B8"/>
    <w:rsid w:val="00EC79F8"/>
    <w:rsid w:val="00ED3932"/>
    <w:rsid w:val="00ED5727"/>
    <w:rsid w:val="00F02717"/>
    <w:rsid w:val="00F03642"/>
    <w:rsid w:val="00F33D59"/>
    <w:rsid w:val="00F5663E"/>
    <w:rsid w:val="00F60755"/>
    <w:rsid w:val="00F634CD"/>
    <w:rsid w:val="00F76443"/>
    <w:rsid w:val="00F82336"/>
    <w:rsid w:val="00F8501F"/>
    <w:rsid w:val="00FA72BC"/>
    <w:rsid w:val="00FB3670"/>
    <w:rsid w:val="00FB44CE"/>
    <w:rsid w:val="00FC1355"/>
    <w:rsid w:val="00FC36AA"/>
    <w:rsid w:val="00FC5050"/>
    <w:rsid w:val="00FC74CA"/>
    <w:rsid w:val="00FD0F26"/>
    <w:rsid w:val="00FD523A"/>
    <w:rsid w:val="00FF08D6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9B92"/>
  <w15:chartTrackingRefBased/>
  <w15:docId w15:val="{03253DE1-7BF7-4CA2-85C5-78D3561A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4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546D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DA546D"/>
  </w:style>
  <w:style w:type="paragraph" w:styleId="ListParagraph">
    <w:name w:val="List Paragraph"/>
    <w:basedOn w:val="Normal"/>
    <w:link w:val="ListParagraphChar"/>
    <w:uiPriority w:val="34"/>
    <w:qFormat/>
    <w:rsid w:val="00DA546D"/>
    <w:pPr>
      <w:ind w:left="720"/>
    </w:pPr>
  </w:style>
  <w:style w:type="character" w:customStyle="1" w:styleId="ListParagraphChar">
    <w:name w:val="List Paragraph Char"/>
    <w:link w:val="ListParagraph"/>
    <w:uiPriority w:val="34"/>
    <w:rsid w:val="00DA546D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Default">
    <w:name w:val="Default"/>
    <w:rsid w:val="00DA54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textlayer--absolute">
    <w:name w:val="textlayer--absolute"/>
    <w:basedOn w:val="DefaultParagraphFont"/>
    <w:rsid w:val="005865C7"/>
  </w:style>
  <w:style w:type="character" w:styleId="Hyperlink">
    <w:name w:val="Hyperlink"/>
    <w:basedOn w:val="DefaultParagraphFont"/>
    <w:uiPriority w:val="99"/>
    <w:unhideWhenUsed/>
    <w:rsid w:val="007C07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6F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clevelandclinic.org/health/diseases/16957-endocarditi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dho.org/wp-content/uploads/2023/11/GUI-Antibiotic-Prophylaxis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dho.org/wp-content/uploads/2023/10/GUI-Best-Practi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ho.org/factsheets/infective-endocardit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1489</Words>
  <Characters>8493</Characters>
  <Application>Microsoft Office Word</Application>
  <DocSecurity>0</DocSecurity>
  <Lines>70</Lines>
  <Paragraphs>19</Paragraphs>
  <ScaleCrop>false</ScaleCrop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Grater-Nakamura</dc:creator>
  <cp:keywords/>
  <dc:description/>
  <cp:lastModifiedBy>Megan Walbauer (DH Oct 23)</cp:lastModifiedBy>
  <cp:revision>2</cp:revision>
  <dcterms:created xsi:type="dcterms:W3CDTF">2024-06-19T15:43:00Z</dcterms:created>
  <dcterms:modified xsi:type="dcterms:W3CDTF">2024-06-19T15:43:00Z</dcterms:modified>
</cp:coreProperties>
</file>