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5670"/>
      </w:tblGrid>
      <w:tr w:rsidR="005F7387" w14:paraId="3851DD07" w14:textId="77777777" w:rsidTr="006B787F">
        <w:trPr>
          <w:trHeight w:val="397"/>
        </w:trPr>
        <w:tc>
          <w:tcPr>
            <w:tcW w:w="9923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0ED5BA1E" w14:textId="77777777" w:rsidR="005F7387" w:rsidRDefault="005F7387" w:rsidP="006B787F">
            <w:pPr>
              <w:spacing w:line="259" w:lineRule="auto"/>
              <w:rPr>
                <w:rFonts w:eastAsia="Calibri"/>
                <w:b/>
              </w:rPr>
            </w:pPr>
            <w:r w:rsidRPr="00BF6B98">
              <w:rPr>
                <w:rFonts w:eastAsia="Calibri"/>
                <w:b/>
                <w:sz w:val="22"/>
                <w:szCs w:val="22"/>
              </w:rPr>
              <w:t>Name:</w:t>
            </w:r>
            <w:r>
              <w:rPr>
                <w:rFonts w:eastAsia="Calibri"/>
                <w:bCs/>
                <w:sz w:val="22"/>
                <w:szCs w:val="22"/>
              </w:rPr>
              <w:t xml:space="preserve">  </w:t>
            </w:r>
            <w:r w:rsidRPr="00703B31">
              <w:rPr>
                <w:rFonts w:eastAsia="Calibri"/>
                <w:b/>
                <w:sz w:val="22"/>
                <w:szCs w:val="22"/>
              </w:rPr>
              <w:t>Megan Walbauer</w:t>
            </w:r>
          </w:p>
        </w:tc>
      </w:tr>
      <w:tr w:rsidR="005F7387" w14:paraId="6964242F" w14:textId="77777777" w:rsidTr="006B787F">
        <w:trPr>
          <w:trHeight w:val="397"/>
        </w:trPr>
        <w:tc>
          <w:tcPr>
            <w:tcW w:w="42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37991E00" w14:textId="77777777" w:rsidR="005F7387" w:rsidRPr="00BF6B98" w:rsidRDefault="005F7387" w:rsidP="006B787F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Level: 3</w:t>
            </w:r>
          </w:p>
        </w:tc>
        <w:tc>
          <w:tcPr>
            <w:tcW w:w="567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0820B248" w14:textId="77777777" w:rsidR="005F7387" w:rsidRDefault="005F7387" w:rsidP="006B787F">
            <w:pPr>
              <w:spacing w:line="259" w:lineRule="auto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Date: Nov 22, 2024</w:t>
            </w:r>
          </w:p>
        </w:tc>
      </w:tr>
      <w:tr w:rsidR="005F7387" w:rsidRPr="00567793" w14:paraId="4EE82870" w14:textId="77777777" w:rsidTr="006B787F">
        <w:trPr>
          <w:trHeight w:val="397"/>
        </w:trPr>
        <w:tc>
          <w:tcPr>
            <w:tcW w:w="4253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vAlign w:val="center"/>
          </w:tcPr>
          <w:p w14:paraId="41CD0979" w14:textId="77777777" w:rsidR="005F7387" w:rsidRPr="00BF6B98" w:rsidRDefault="005F7387" w:rsidP="006B787F">
            <w:pPr>
              <w:rPr>
                <w:rFonts w:eastAsia="Calibri"/>
                <w:bCs/>
                <w:sz w:val="22"/>
                <w:szCs w:val="22"/>
              </w:rPr>
            </w:pPr>
            <w:r w:rsidRPr="00BF6B98">
              <w:rPr>
                <w:rFonts w:eastAsia="Calibri"/>
                <w:b/>
                <w:sz w:val="22"/>
                <w:szCs w:val="22"/>
              </w:rPr>
              <w:t>Journal Number:</w:t>
            </w:r>
            <w:r>
              <w:rPr>
                <w:rFonts w:eastAsia="Calibri"/>
                <w:b/>
                <w:sz w:val="22"/>
                <w:szCs w:val="22"/>
              </w:rPr>
              <w:t xml:space="preserve"> 2 </w:t>
            </w:r>
          </w:p>
        </w:tc>
        <w:tc>
          <w:tcPr>
            <w:tcW w:w="567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vAlign w:val="center"/>
          </w:tcPr>
          <w:p w14:paraId="71F13E19" w14:textId="77777777" w:rsidR="005F7387" w:rsidRPr="00567793" w:rsidRDefault="005F7387" w:rsidP="006B787F">
            <w:pPr>
              <w:rPr>
                <w:rFonts w:eastAsia="Calibri"/>
                <w:bCs/>
                <w:sz w:val="22"/>
                <w:szCs w:val="22"/>
              </w:rPr>
            </w:pPr>
            <w:r w:rsidRPr="00BF6B98">
              <w:rPr>
                <w:rFonts w:eastAsia="Calibri"/>
                <w:b/>
                <w:sz w:val="22"/>
                <w:szCs w:val="22"/>
              </w:rPr>
              <w:t>Competency:</w:t>
            </w:r>
            <w:r>
              <w:rPr>
                <w:rFonts w:eastAsia="Calibri"/>
                <w:b/>
                <w:sz w:val="22"/>
                <w:szCs w:val="22"/>
              </w:rPr>
              <w:t xml:space="preserve"> Communicator and collaborator </w:t>
            </w:r>
          </w:p>
        </w:tc>
      </w:tr>
    </w:tbl>
    <w:p w14:paraId="3B6424FC" w14:textId="77777777" w:rsidR="005F7387" w:rsidRPr="00DB4FFC" w:rsidRDefault="005F7387" w:rsidP="005F7387">
      <w:pPr>
        <w:pBdr>
          <w:bottom w:val="single" w:sz="6" w:space="1" w:color="auto"/>
        </w:pBdr>
        <w:spacing w:line="480" w:lineRule="auto"/>
        <w:rPr>
          <w:sz w:val="24"/>
          <w:szCs w:val="24"/>
        </w:rPr>
      </w:pPr>
      <w:r w:rsidRPr="00DB4FFC">
        <w:rPr>
          <w:sz w:val="24"/>
          <w:szCs w:val="24"/>
        </w:rPr>
        <w:t xml:space="preserve"> </w:t>
      </w:r>
    </w:p>
    <w:p w14:paraId="18CEA675" w14:textId="77777777" w:rsidR="00C22994" w:rsidRDefault="00C22994" w:rsidP="00915717">
      <w:pPr>
        <w:rPr>
          <w:rStyle w:val="textlayer--absolute"/>
          <w:rFonts w:eastAsiaTheme="majorEastAsia"/>
          <w:sz w:val="24"/>
          <w:szCs w:val="24"/>
        </w:rPr>
      </w:pPr>
    </w:p>
    <w:p w14:paraId="77D3DE35" w14:textId="572BE69D" w:rsidR="00915717" w:rsidRDefault="005F7387" w:rsidP="00915717">
      <w:pPr>
        <w:rPr>
          <w:rStyle w:val="textlayer--absolute"/>
          <w:rFonts w:eastAsiaTheme="majorEastAsia"/>
          <w:sz w:val="24"/>
          <w:szCs w:val="24"/>
        </w:rPr>
      </w:pPr>
      <w:r w:rsidRPr="00915717">
        <w:rPr>
          <w:rStyle w:val="textlayer--absolute"/>
          <w:rFonts w:eastAsiaTheme="majorEastAsia"/>
          <w:sz w:val="24"/>
          <w:szCs w:val="24"/>
        </w:rPr>
        <w:t xml:space="preserve">To prepare graduates that effectively communicate and collaborate with </w:t>
      </w:r>
      <w:r w:rsidR="00D050E7">
        <w:rPr>
          <w:rStyle w:val="textlayer--absolute"/>
          <w:rFonts w:eastAsiaTheme="majorEastAsia"/>
          <w:sz w:val="24"/>
          <w:szCs w:val="24"/>
        </w:rPr>
        <w:t>clients'’</w:t>
      </w:r>
      <w:r w:rsidRPr="00915717">
        <w:rPr>
          <w:rStyle w:val="textlayer--absolute"/>
          <w:rFonts w:eastAsiaTheme="majorEastAsia"/>
          <w:sz w:val="24"/>
          <w:szCs w:val="24"/>
        </w:rPr>
        <w:t>, substitute decision makers,</w:t>
      </w:r>
      <w:r w:rsidRPr="00915717">
        <w:rPr>
          <w:color w:val="000000"/>
          <w:sz w:val="24"/>
          <w:szCs w:val="24"/>
        </w:rPr>
        <w:t xml:space="preserve"> </w:t>
      </w:r>
      <w:r w:rsidRPr="00915717">
        <w:rPr>
          <w:rStyle w:val="textlayer--absolute"/>
          <w:rFonts w:eastAsiaTheme="majorEastAsia"/>
          <w:sz w:val="24"/>
          <w:szCs w:val="24"/>
        </w:rPr>
        <w:t>communities, and other professionals.</w:t>
      </w:r>
    </w:p>
    <w:p w14:paraId="55713B6E" w14:textId="77777777" w:rsidR="00C22994" w:rsidRPr="00915717" w:rsidRDefault="00C22994" w:rsidP="00915717">
      <w:pPr>
        <w:rPr>
          <w:rStyle w:val="textlayer--absolute"/>
          <w:rFonts w:eastAsiaTheme="majorEastAsia"/>
          <w:sz w:val="24"/>
          <w:szCs w:val="24"/>
        </w:rPr>
      </w:pPr>
    </w:p>
    <w:p w14:paraId="15B520D6" w14:textId="0AEC8145" w:rsidR="00915717" w:rsidRPr="00AA3AC4" w:rsidRDefault="005F7387" w:rsidP="00AA3AC4">
      <w:pPr>
        <w:pStyle w:val="ListParagraph"/>
        <w:numPr>
          <w:ilvl w:val="0"/>
          <w:numId w:val="5"/>
        </w:numPr>
        <w:rPr>
          <w:rStyle w:val="textlayer--absolute"/>
          <w:rFonts w:eastAsiaTheme="majorEastAsia"/>
          <w:sz w:val="24"/>
          <w:szCs w:val="24"/>
        </w:rPr>
      </w:pPr>
      <w:r w:rsidRPr="00AA3AC4">
        <w:rPr>
          <w:rStyle w:val="textlayer--absolute"/>
          <w:rFonts w:eastAsiaTheme="majorEastAsia"/>
          <w:sz w:val="24"/>
          <w:szCs w:val="24"/>
        </w:rPr>
        <w:t>Read the article “An Overview of health behavioural change theories and models: Interventions for the dental</w:t>
      </w:r>
      <w:r w:rsidRPr="00AA3AC4">
        <w:rPr>
          <w:color w:val="000000"/>
          <w:sz w:val="24"/>
          <w:szCs w:val="24"/>
        </w:rPr>
        <w:t xml:space="preserve"> </w:t>
      </w:r>
      <w:r w:rsidRPr="00AA3AC4">
        <w:rPr>
          <w:rStyle w:val="textlayer--absolute"/>
          <w:rFonts w:eastAsiaTheme="majorEastAsia"/>
          <w:sz w:val="24"/>
          <w:szCs w:val="24"/>
        </w:rPr>
        <w:t>hygienist to improve client motivation and compliance”. Reflect on your communication with clients and discuss</w:t>
      </w:r>
      <w:r w:rsidRPr="00AA3AC4">
        <w:rPr>
          <w:color w:val="000000"/>
          <w:sz w:val="24"/>
          <w:szCs w:val="24"/>
        </w:rPr>
        <w:t xml:space="preserve"> </w:t>
      </w:r>
      <w:r w:rsidRPr="00AA3AC4">
        <w:rPr>
          <w:rStyle w:val="textlayer--absolute"/>
          <w:rFonts w:eastAsiaTheme="majorEastAsia"/>
          <w:sz w:val="24"/>
          <w:szCs w:val="24"/>
        </w:rPr>
        <w:t>client belief/value modification using approaches identified in the article. Further, explain how you can overcome</w:t>
      </w:r>
      <w:r w:rsidRPr="00AA3AC4">
        <w:rPr>
          <w:color w:val="000000"/>
          <w:sz w:val="24"/>
          <w:szCs w:val="24"/>
        </w:rPr>
        <w:t xml:space="preserve"> </w:t>
      </w:r>
      <w:r w:rsidRPr="00AA3AC4">
        <w:rPr>
          <w:rStyle w:val="textlayer--absolute"/>
          <w:rFonts w:eastAsiaTheme="majorEastAsia"/>
          <w:sz w:val="24"/>
          <w:szCs w:val="24"/>
        </w:rPr>
        <w:t>the challenge.</w:t>
      </w:r>
    </w:p>
    <w:p w14:paraId="32B82C05" w14:textId="77777777" w:rsidR="00915717" w:rsidRPr="00915717" w:rsidRDefault="00915717" w:rsidP="00915717">
      <w:pPr>
        <w:rPr>
          <w:rStyle w:val="textlayer--absolute"/>
          <w:rFonts w:eastAsiaTheme="majorEastAsia"/>
          <w:sz w:val="24"/>
          <w:szCs w:val="24"/>
        </w:rPr>
      </w:pPr>
    </w:p>
    <w:p w14:paraId="51FCAFFC" w14:textId="0119ACF7" w:rsidR="00C056B5" w:rsidRDefault="00C056B5">
      <w:pPr>
        <w:rPr>
          <w:rStyle w:val="textlayer--absolute"/>
          <w:rFonts w:eastAsiaTheme="majorEastAsia"/>
        </w:rPr>
      </w:pPr>
      <w:r>
        <w:rPr>
          <w:rStyle w:val="textlayer--absolute"/>
          <w:rFonts w:eastAsiaTheme="majorEastAsia"/>
        </w:rPr>
        <w:br w:type="page"/>
      </w:r>
    </w:p>
    <w:p w14:paraId="510D2186" w14:textId="4E81B600" w:rsidR="00C056B5" w:rsidRDefault="009D587C" w:rsidP="00616F27">
      <w:pPr>
        <w:spacing w:line="480" w:lineRule="auto"/>
        <w:rPr>
          <w:rStyle w:val="textlayer--absolute"/>
          <w:rFonts w:eastAsiaTheme="majorEastAsia"/>
          <w:sz w:val="24"/>
          <w:szCs w:val="24"/>
        </w:rPr>
      </w:pPr>
      <w:r w:rsidRPr="00213257">
        <w:rPr>
          <w:rStyle w:val="textlayer--absolute"/>
          <w:rFonts w:eastAsiaTheme="majorEastAsia"/>
          <w:sz w:val="24"/>
          <w:szCs w:val="24"/>
        </w:rPr>
        <w:lastRenderedPageBreak/>
        <w:t xml:space="preserve">Health behaviour theories </w:t>
      </w:r>
      <w:r w:rsidR="00CA58A5" w:rsidRPr="00213257">
        <w:rPr>
          <w:rStyle w:val="textlayer--absolute"/>
          <w:rFonts w:eastAsiaTheme="majorEastAsia"/>
          <w:sz w:val="24"/>
          <w:szCs w:val="24"/>
        </w:rPr>
        <w:t xml:space="preserve">I feel </w:t>
      </w:r>
      <w:r w:rsidRPr="00213257">
        <w:rPr>
          <w:rStyle w:val="textlayer--absolute"/>
          <w:rFonts w:eastAsiaTheme="majorEastAsia"/>
          <w:sz w:val="24"/>
          <w:szCs w:val="24"/>
        </w:rPr>
        <w:t>have become a way to explain reasoning for actions</w:t>
      </w:r>
      <w:r w:rsidR="00CA58A5" w:rsidRPr="00213257">
        <w:rPr>
          <w:rStyle w:val="textlayer--absolute"/>
          <w:rFonts w:eastAsiaTheme="majorEastAsia"/>
          <w:sz w:val="24"/>
          <w:szCs w:val="24"/>
        </w:rPr>
        <w:t xml:space="preserve">, the ongoing research and further development of this allows a better understanding </w:t>
      </w:r>
      <w:r w:rsidR="0016688D" w:rsidRPr="00213257">
        <w:rPr>
          <w:rStyle w:val="textlayer--absolute"/>
          <w:rFonts w:eastAsiaTheme="majorEastAsia"/>
          <w:sz w:val="24"/>
          <w:szCs w:val="24"/>
        </w:rPr>
        <w:t>for clients</w:t>
      </w:r>
      <w:r w:rsidR="00D050E7">
        <w:rPr>
          <w:rStyle w:val="textlayer--absolute"/>
          <w:rFonts w:eastAsiaTheme="majorEastAsia"/>
          <w:sz w:val="24"/>
          <w:szCs w:val="24"/>
        </w:rPr>
        <w:t>’</w:t>
      </w:r>
      <w:r w:rsidR="0016688D" w:rsidRPr="00213257">
        <w:rPr>
          <w:rStyle w:val="textlayer--absolute"/>
          <w:rFonts w:eastAsiaTheme="majorEastAsia"/>
          <w:sz w:val="24"/>
          <w:szCs w:val="24"/>
        </w:rPr>
        <w:t xml:space="preserve"> and clinicians alike to be able to </w:t>
      </w:r>
      <w:r w:rsidR="008C4998" w:rsidRPr="00213257">
        <w:rPr>
          <w:rStyle w:val="textlayer--absolute"/>
          <w:rFonts w:eastAsiaTheme="majorEastAsia"/>
          <w:sz w:val="24"/>
          <w:szCs w:val="24"/>
        </w:rPr>
        <w:t>provide effective oral hygiene care</w:t>
      </w:r>
      <w:r w:rsidR="00D60089" w:rsidRPr="00213257">
        <w:rPr>
          <w:rStyle w:val="textlayer--absolute"/>
          <w:rFonts w:eastAsiaTheme="majorEastAsia"/>
          <w:sz w:val="24"/>
          <w:szCs w:val="24"/>
        </w:rPr>
        <w:t xml:space="preserve">. </w:t>
      </w:r>
      <w:r w:rsidR="00874026">
        <w:rPr>
          <w:rStyle w:val="textlayer--absolute"/>
          <w:rFonts w:eastAsiaTheme="majorEastAsia"/>
          <w:sz w:val="24"/>
          <w:szCs w:val="24"/>
        </w:rPr>
        <w:t xml:space="preserve">Many barriers </w:t>
      </w:r>
      <w:r w:rsidR="000F78B2">
        <w:rPr>
          <w:rStyle w:val="textlayer--absolute"/>
          <w:rFonts w:eastAsiaTheme="majorEastAsia"/>
          <w:sz w:val="24"/>
          <w:szCs w:val="24"/>
        </w:rPr>
        <w:t xml:space="preserve">affect certain </w:t>
      </w:r>
      <w:r w:rsidR="00400FFA">
        <w:rPr>
          <w:rStyle w:val="textlayer--absolute"/>
          <w:rFonts w:eastAsiaTheme="majorEastAsia"/>
          <w:sz w:val="24"/>
          <w:szCs w:val="24"/>
        </w:rPr>
        <w:t>cliental</w:t>
      </w:r>
      <w:r w:rsidR="000F78B2">
        <w:rPr>
          <w:rStyle w:val="textlayer--absolute"/>
          <w:rFonts w:eastAsiaTheme="majorEastAsia"/>
          <w:sz w:val="24"/>
          <w:szCs w:val="24"/>
        </w:rPr>
        <w:t xml:space="preserve"> and </w:t>
      </w:r>
      <w:r w:rsidR="00CB60C7">
        <w:rPr>
          <w:rStyle w:val="textlayer--absolute"/>
          <w:rFonts w:eastAsiaTheme="majorEastAsia"/>
          <w:sz w:val="24"/>
          <w:szCs w:val="24"/>
        </w:rPr>
        <w:t>understanding</w:t>
      </w:r>
      <w:r w:rsidR="000F78B2">
        <w:rPr>
          <w:rStyle w:val="textlayer--absolute"/>
          <w:rFonts w:eastAsiaTheme="majorEastAsia"/>
          <w:sz w:val="24"/>
          <w:szCs w:val="24"/>
        </w:rPr>
        <w:t xml:space="preserve"> how to overcome these can assure </w:t>
      </w:r>
      <w:proofErr w:type="gramStart"/>
      <w:r w:rsidR="00251E41">
        <w:rPr>
          <w:rStyle w:val="textlayer--absolute"/>
          <w:rFonts w:eastAsiaTheme="majorEastAsia"/>
          <w:sz w:val="24"/>
          <w:szCs w:val="24"/>
        </w:rPr>
        <w:t>clients</w:t>
      </w:r>
      <w:r w:rsidR="00D050E7">
        <w:rPr>
          <w:rStyle w:val="textlayer--absolute"/>
          <w:rFonts w:eastAsiaTheme="majorEastAsia"/>
          <w:sz w:val="24"/>
          <w:szCs w:val="24"/>
        </w:rPr>
        <w:t>’</w:t>
      </w:r>
      <w:proofErr w:type="gramEnd"/>
      <w:r w:rsidR="00D050E7">
        <w:rPr>
          <w:rStyle w:val="textlayer--absolute"/>
          <w:rFonts w:eastAsiaTheme="majorEastAsia"/>
          <w:sz w:val="24"/>
          <w:szCs w:val="24"/>
        </w:rPr>
        <w:t xml:space="preserve"> </w:t>
      </w:r>
      <w:r w:rsidR="000F78B2">
        <w:rPr>
          <w:rStyle w:val="textlayer--absolute"/>
          <w:rFonts w:eastAsiaTheme="majorEastAsia"/>
          <w:sz w:val="24"/>
          <w:szCs w:val="24"/>
        </w:rPr>
        <w:t>are able to provide</w:t>
      </w:r>
      <w:r w:rsidR="00400FFA">
        <w:rPr>
          <w:rStyle w:val="textlayer--absolute"/>
          <w:rFonts w:eastAsiaTheme="majorEastAsia"/>
          <w:sz w:val="24"/>
          <w:szCs w:val="24"/>
        </w:rPr>
        <w:t xml:space="preserve"> themselves with proper care. </w:t>
      </w:r>
      <w:r w:rsidR="00D77EE0">
        <w:rPr>
          <w:rStyle w:val="textlayer--absolute"/>
          <w:rFonts w:eastAsiaTheme="majorEastAsia"/>
          <w:sz w:val="24"/>
          <w:szCs w:val="24"/>
        </w:rPr>
        <w:t xml:space="preserve">These health belief models and theories include </w:t>
      </w:r>
      <w:r w:rsidR="00251E41">
        <w:rPr>
          <w:rStyle w:val="textlayer--absolute"/>
          <w:rFonts w:eastAsiaTheme="majorEastAsia"/>
          <w:sz w:val="24"/>
          <w:szCs w:val="24"/>
        </w:rPr>
        <w:t xml:space="preserve">the self-efficacy theory, locus of control theory, attribution theory, theory of reasoned action, health belief model, transtheoretical model, conversational interviewing, motivational interviewing. I will discuss how I have </w:t>
      </w:r>
      <w:r w:rsidR="00CB60C7">
        <w:rPr>
          <w:rStyle w:val="textlayer--absolute"/>
          <w:rFonts w:eastAsiaTheme="majorEastAsia"/>
          <w:sz w:val="24"/>
          <w:szCs w:val="24"/>
        </w:rPr>
        <w:t xml:space="preserve">encountered </w:t>
      </w:r>
      <w:r w:rsidR="00251E41">
        <w:rPr>
          <w:rStyle w:val="textlayer--absolute"/>
          <w:rFonts w:eastAsiaTheme="majorEastAsia"/>
          <w:sz w:val="24"/>
          <w:szCs w:val="24"/>
        </w:rPr>
        <w:t xml:space="preserve">these </w:t>
      </w:r>
      <w:r w:rsidR="00CB60C7">
        <w:rPr>
          <w:rStyle w:val="textlayer--absolute"/>
          <w:rFonts w:eastAsiaTheme="majorEastAsia"/>
          <w:sz w:val="24"/>
          <w:szCs w:val="24"/>
        </w:rPr>
        <w:t>with clients</w:t>
      </w:r>
      <w:r w:rsidR="00D050E7">
        <w:rPr>
          <w:rStyle w:val="textlayer--absolute"/>
          <w:rFonts w:eastAsiaTheme="majorEastAsia"/>
          <w:sz w:val="24"/>
          <w:szCs w:val="24"/>
        </w:rPr>
        <w:t>’</w:t>
      </w:r>
      <w:r w:rsidR="00CB60C7">
        <w:rPr>
          <w:rStyle w:val="textlayer--absolute"/>
          <w:rFonts w:eastAsiaTheme="majorEastAsia"/>
          <w:sz w:val="24"/>
          <w:szCs w:val="24"/>
        </w:rPr>
        <w:t xml:space="preserve"> while at CADH. </w:t>
      </w:r>
    </w:p>
    <w:p w14:paraId="02C86B6F" w14:textId="77777777" w:rsidR="00CB60C7" w:rsidRDefault="00CB60C7" w:rsidP="00616F27">
      <w:pPr>
        <w:spacing w:line="480" w:lineRule="auto"/>
        <w:rPr>
          <w:rStyle w:val="textlayer--absolute"/>
          <w:rFonts w:eastAsiaTheme="majorEastAsia"/>
          <w:sz w:val="24"/>
          <w:szCs w:val="24"/>
        </w:rPr>
      </w:pPr>
    </w:p>
    <w:p w14:paraId="49344083" w14:textId="50F512E6" w:rsidR="00CB60C7" w:rsidRPr="002F0940" w:rsidRDefault="002F0940" w:rsidP="00616F27">
      <w:pPr>
        <w:spacing w:line="480" w:lineRule="auto"/>
        <w:rPr>
          <w:rStyle w:val="textlayer--absolute"/>
          <w:rFonts w:eastAsiaTheme="majorEastAsia"/>
          <w:b/>
          <w:bCs/>
          <w:sz w:val="24"/>
          <w:szCs w:val="24"/>
        </w:rPr>
      </w:pPr>
      <w:r w:rsidRPr="002F0940">
        <w:rPr>
          <w:rStyle w:val="textlayer--absolute"/>
          <w:rFonts w:eastAsiaTheme="majorEastAsia"/>
          <w:b/>
          <w:bCs/>
          <w:sz w:val="24"/>
          <w:szCs w:val="24"/>
        </w:rPr>
        <w:t xml:space="preserve">Self-Efficacy Theory </w:t>
      </w:r>
    </w:p>
    <w:p w14:paraId="4CA14FC1" w14:textId="77777777" w:rsidR="00C056B5" w:rsidRDefault="00C056B5" w:rsidP="00616F27">
      <w:pPr>
        <w:spacing w:line="480" w:lineRule="auto"/>
        <w:rPr>
          <w:rStyle w:val="textlayer--absolute"/>
          <w:rFonts w:eastAsiaTheme="majorEastAsia"/>
        </w:rPr>
      </w:pPr>
    </w:p>
    <w:p w14:paraId="4B4C89F6" w14:textId="42AFF59A" w:rsidR="002E3BC1" w:rsidRDefault="00256C7C" w:rsidP="00616F27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This deals with the </w:t>
      </w:r>
      <w:r w:rsidR="00385F45">
        <w:rPr>
          <w:sz w:val="24"/>
          <w:szCs w:val="24"/>
        </w:rPr>
        <w:t>client’s</w:t>
      </w:r>
      <w:r>
        <w:rPr>
          <w:sz w:val="24"/>
          <w:szCs w:val="24"/>
        </w:rPr>
        <w:t xml:space="preserve"> perception of </w:t>
      </w:r>
      <w:r w:rsidR="00385F45">
        <w:rPr>
          <w:sz w:val="24"/>
          <w:szCs w:val="24"/>
        </w:rPr>
        <w:t>oneself</w:t>
      </w:r>
      <w:r>
        <w:rPr>
          <w:sz w:val="24"/>
          <w:szCs w:val="24"/>
        </w:rPr>
        <w:t xml:space="preserve"> and what they</w:t>
      </w:r>
      <w:r w:rsidR="007B395D">
        <w:rPr>
          <w:sz w:val="24"/>
          <w:szCs w:val="24"/>
        </w:rPr>
        <w:t xml:space="preserve"> believe they</w:t>
      </w:r>
      <w:r>
        <w:rPr>
          <w:sz w:val="24"/>
          <w:szCs w:val="24"/>
        </w:rPr>
        <w:t xml:space="preserve"> are capable of</w:t>
      </w:r>
      <w:r w:rsidR="00EC34E3">
        <w:rPr>
          <w:sz w:val="24"/>
          <w:szCs w:val="24"/>
        </w:rPr>
        <w:t xml:space="preserve"> (Gallagher 2012). </w:t>
      </w:r>
      <w:r w:rsidR="008F6108">
        <w:rPr>
          <w:sz w:val="24"/>
          <w:szCs w:val="24"/>
        </w:rPr>
        <w:t xml:space="preserve">The dental hygiene intervention with this theory would be valuable to ensure that the client </w:t>
      </w:r>
      <w:r w:rsidR="008957A0">
        <w:rPr>
          <w:sz w:val="24"/>
          <w:szCs w:val="24"/>
        </w:rPr>
        <w:t>can reach the goals set out (</w:t>
      </w:r>
      <w:r w:rsidR="00370C8A">
        <w:rPr>
          <w:sz w:val="24"/>
          <w:szCs w:val="24"/>
        </w:rPr>
        <w:t>Collins 2011</w:t>
      </w:r>
      <w:r w:rsidR="008957A0">
        <w:rPr>
          <w:sz w:val="24"/>
          <w:szCs w:val="24"/>
        </w:rPr>
        <w:t xml:space="preserve">). </w:t>
      </w:r>
      <w:r w:rsidR="00385F45">
        <w:rPr>
          <w:sz w:val="24"/>
          <w:szCs w:val="24"/>
        </w:rPr>
        <w:t>As explained “success reinforces success” (</w:t>
      </w:r>
      <w:r w:rsidR="00370C8A">
        <w:rPr>
          <w:sz w:val="24"/>
          <w:szCs w:val="24"/>
        </w:rPr>
        <w:t xml:space="preserve">Collins 2011, </w:t>
      </w:r>
      <w:r w:rsidR="00385F45">
        <w:rPr>
          <w:sz w:val="24"/>
          <w:szCs w:val="24"/>
        </w:rPr>
        <w:t>P. 111). My experience with clients</w:t>
      </w:r>
      <w:r w:rsidR="00D050E7">
        <w:rPr>
          <w:sz w:val="24"/>
          <w:szCs w:val="24"/>
        </w:rPr>
        <w:t>’</w:t>
      </w:r>
      <w:r w:rsidR="00385F45">
        <w:rPr>
          <w:sz w:val="24"/>
          <w:szCs w:val="24"/>
        </w:rPr>
        <w:t xml:space="preserve"> and this model </w:t>
      </w:r>
      <w:r w:rsidR="00DC6397">
        <w:rPr>
          <w:sz w:val="24"/>
          <w:szCs w:val="24"/>
        </w:rPr>
        <w:t>has been to ensure a thorough assessment is made to get the full picture of the clients</w:t>
      </w:r>
      <w:r w:rsidR="00D050E7">
        <w:rPr>
          <w:sz w:val="24"/>
          <w:szCs w:val="24"/>
        </w:rPr>
        <w:t>’</w:t>
      </w:r>
      <w:r w:rsidR="00DC6397">
        <w:rPr>
          <w:sz w:val="24"/>
          <w:szCs w:val="24"/>
        </w:rPr>
        <w:t xml:space="preserve"> situation. In example </w:t>
      </w:r>
      <w:r w:rsidR="002829E8">
        <w:rPr>
          <w:sz w:val="24"/>
          <w:szCs w:val="24"/>
        </w:rPr>
        <w:t xml:space="preserve">I saw a client who was experiencing homelessness, when delivering care, I stressed the importance of regular oral hygiene and provided resources to further aid this client. I wanted to ensure the client felt heard and seen and that they left the care with the tools necessary to benefit their health. </w:t>
      </w:r>
      <w:r w:rsidR="00010066">
        <w:rPr>
          <w:sz w:val="24"/>
          <w:szCs w:val="24"/>
        </w:rPr>
        <w:t xml:space="preserve">A barrier to this was </w:t>
      </w:r>
      <w:r w:rsidR="0077423B">
        <w:rPr>
          <w:sz w:val="24"/>
          <w:szCs w:val="24"/>
        </w:rPr>
        <w:t xml:space="preserve">trying to convince and prove to the client how important this self-care was, when they were dealing with far larger concerns concerning housing. </w:t>
      </w:r>
    </w:p>
    <w:p w14:paraId="34B8CCDC" w14:textId="77777777" w:rsidR="002E3BC1" w:rsidRDefault="002E3BC1" w:rsidP="00616F27">
      <w:pPr>
        <w:spacing w:line="480" w:lineRule="auto"/>
        <w:rPr>
          <w:sz w:val="24"/>
          <w:szCs w:val="24"/>
        </w:rPr>
      </w:pPr>
    </w:p>
    <w:p w14:paraId="3AB86A6A" w14:textId="77777777" w:rsidR="004E6189" w:rsidRDefault="004E6189" w:rsidP="00616F27">
      <w:pPr>
        <w:spacing w:line="480" w:lineRule="auto"/>
        <w:rPr>
          <w:b/>
          <w:bCs/>
          <w:sz w:val="24"/>
          <w:szCs w:val="24"/>
        </w:rPr>
      </w:pPr>
      <w:r w:rsidRPr="004E6189">
        <w:rPr>
          <w:b/>
          <w:bCs/>
          <w:sz w:val="24"/>
          <w:szCs w:val="24"/>
        </w:rPr>
        <w:t xml:space="preserve">Locus of </w:t>
      </w:r>
      <w:r>
        <w:rPr>
          <w:b/>
          <w:bCs/>
          <w:sz w:val="24"/>
          <w:szCs w:val="24"/>
        </w:rPr>
        <w:t>C</w:t>
      </w:r>
      <w:r w:rsidRPr="004E6189">
        <w:rPr>
          <w:b/>
          <w:bCs/>
          <w:sz w:val="24"/>
          <w:szCs w:val="24"/>
        </w:rPr>
        <w:t xml:space="preserve">ontrol </w:t>
      </w:r>
      <w:r>
        <w:rPr>
          <w:b/>
          <w:bCs/>
          <w:sz w:val="24"/>
          <w:szCs w:val="24"/>
        </w:rPr>
        <w:t>T</w:t>
      </w:r>
      <w:r w:rsidRPr="004E6189">
        <w:rPr>
          <w:b/>
          <w:bCs/>
          <w:sz w:val="24"/>
          <w:szCs w:val="24"/>
        </w:rPr>
        <w:t>heory</w:t>
      </w:r>
    </w:p>
    <w:p w14:paraId="103D6579" w14:textId="77777777" w:rsidR="004E6189" w:rsidRDefault="004E6189" w:rsidP="00616F27">
      <w:pPr>
        <w:spacing w:line="480" w:lineRule="auto"/>
        <w:rPr>
          <w:b/>
          <w:bCs/>
          <w:sz w:val="24"/>
          <w:szCs w:val="24"/>
        </w:rPr>
      </w:pPr>
    </w:p>
    <w:p w14:paraId="637AAD01" w14:textId="02BB8E36" w:rsidR="009A153E" w:rsidRDefault="00235852" w:rsidP="00616F27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Locus of control is related to control </w:t>
      </w:r>
      <w:r w:rsidR="00600DBB">
        <w:rPr>
          <w:sz w:val="24"/>
          <w:szCs w:val="24"/>
        </w:rPr>
        <w:t xml:space="preserve">and can either be internal when client believe they are the cause </w:t>
      </w:r>
      <w:r w:rsidR="0077423B">
        <w:rPr>
          <w:sz w:val="24"/>
          <w:szCs w:val="24"/>
        </w:rPr>
        <w:t>o</w:t>
      </w:r>
      <w:r w:rsidR="00600DBB">
        <w:rPr>
          <w:sz w:val="24"/>
          <w:szCs w:val="24"/>
        </w:rPr>
        <w:t xml:space="preserve">f an outcome or external when </w:t>
      </w:r>
      <w:proofErr w:type="gramStart"/>
      <w:r w:rsidR="00B714AE">
        <w:rPr>
          <w:sz w:val="24"/>
          <w:szCs w:val="24"/>
        </w:rPr>
        <w:t>clients</w:t>
      </w:r>
      <w:r w:rsidR="00D050E7">
        <w:rPr>
          <w:sz w:val="24"/>
          <w:szCs w:val="24"/>
        </w:rPr>
        <w:t>’</w:t>
      </w:r>
      <w:proofErr w:type="gramEnd"/>
      <w:r w:rsidR="00600DBB">
        <w:rPr>
          <w:sz w:val="24"/>
          <w:szCs w:val="24"/>
        </w:rPr>
        <w:t xml:space="preserve"> believe a higher </w:t>
      </w:r>
      <w:r w:rsidR="00370C8A">
        <w:rPr>
          <w:sz w:val="24"/>
          <w:szCs w:val="24"/>
        </w:rPr>
        <w:t>power,</w:t>
      </w:r>
      <w:r w:rsidR="00600DBB">
        <w:rPr>
          <w:sz w:val="24"/>
          <w:szCs w:val="24"/>
        </w:rPr>
        <w:t xml:space="preserve"> or </w:t>
      </w:r>
      <w:r w:rsidR="00B714AE">
        <w:rPr>
          <w:sz w:val="24"/>
          <w:szCs w:val="24"/>
        </w:rPr>
        <w:t>an outside source is the result of situations (</w:t>
      </w:r>
      <w:r w:rsidR="00370C8A">
        <w:rPr>
          <w:sz w:val="24"/>
          <w:szCs w:val="24"/>
        </w:rPr>
        <w:t>Collins 2011</w:t>
      </w:r>
      <w:r w:rsidR="00B714AE">
        <w:rPr>
          <w:sz w:val="24"/>
          <w:szCs w:val="24"/>
        </w:rPr>
        <w:t xml:space="preserve">). </w:t>
      </w:r>
      <w:r w:rsidR="00D72E11">
        <w:rPr>
          <w:sz w:val="24"/>
          <w:szCs w:val="24"/>
        </w:rPr>
        <w:t xml:space="preserve">Some examples I feel will benefit a client dealing with this would be to ensure that responsibility is obtained for the </w:t>
      </w:r>
      <w:r w:rsidR="00D050E7">
        <w:rPr>
          <w:sz w:val="24"/>
          <w:szCs w:val="24"/>
        </w:rPr>
        <w:t>clients’</w:t>
      </w:r>
      <w:r w:rsidR="00D72E11">
        <w:rPr>
          <w:sz w:val="24"/>
          <w:szCs w:val="24"/>
        </w:rPr>
        <w:t xml:space="preserve"> oral health</w:t>
      </w:r>
      <w:r w:rsidR="00B461F4">
        <w:rPr>
          <w:sz w:val="24"/>
          <w:szCs w:val="24"/>
        </w:rPr>
        <w:t xml:space="preserve"> (</w:t>
      </w:r>
      <w:r w:rsidR="00370C8A">
        <w:rPr>
          <w:sz w:val="24"/>
          <w:szCs w:val="24"/>
        </w:rPr>
        <w:t>Collins 2011</w:t>
      </w:r>
      <w:r w:rsidR="00B461F4">
        <w:rPr>
          <w:sz w:val="24"/>
          <w:szCs w:val="24"/>
        </w:rPr>
        <w:t xml:space="preserve">). In circumstances like this I would use evidence-based practice to provide explanation for my </w:t>
      </w:r>
      <w:proofErr w:type="gramStart"/>
      <w:r w:rsidR="00B461F4">
        <w:rPr>
          <w:sz w:val="24"/>
          <w:szCs w:val="24"/>
        </w:rPr>
        <w:t>clients</w:t>
      </w:r>
      <w:r w:rsidR="00D050E7">
        <w:rPr>
          <w:sz w:val="24"/>
          <w:szCs w:val="24"/>
        </w:rPr>
        <w:t>’</w:t>
      </w:r>
      <w:proofErr w:type="gramEnd"/>
      <w:r w:rsidR="00B461F4">
        <w:rPr>
          <w:sz w:val="24"/>
          <w:szCs w:val="24"/>
        </w:rPr>
        <w:t xml:space="preserve"> on whatever the intervention was whether that be proper oral hygiene education, debridement, the use of products and more. </w:t>
      </w:r>
      <w:r w:rsidR="00992C14">
        <w:rPr>
          <w:sz w:val="24"/>
          <w:szCs w:val="24"/>
        </w:rPr>
        <w:t xml:space="preserve">I would also ensure that the client felt that the care was appropriate for them and to </w:t>
      </w:r>
      <w:r w:rsidR="009A153E">
        <w:rPr>
          <w:sz w:val="24"/>
          <w:szCs w:val="24"/>
        </w:rPr>
        <w:t xml:space="preserve">adjust the treatment plan as </w:t>
      </w:r>
      <w:r w:rsidR="005239BC">
        <w:rPr>
          <w:sz w:val="24"/>
          <w:szCs w:val="24"/>
        </w:rPr>
        <w:t>needed</w:t>
      </w:r>
      <w:r w:rsidR="009A153E">
        <w:rPr>
          <w:sz w:val="24"/>
          <w:szCs w:val="24"/>
        </w:rPr>
        <w:t xml:space="preserve"> to </w:t>
      </w:r>
      <w:r w:rsidR="005239BC">
        <w:rPr>
          <w:sz w:val="24"/>
          <w:szCs w:val="24"/>
        </w:rPr>
        <w:t xml:space="preserve">accommodate </w:t>
      </w:r>
      <w:r w:rsidR="009A153E">
        <w:rPr>
          <w:sz w:val="24"/>
          <w:szCs w:val="24"/>
        </w:rPr>
        <w:t>(</w:t>
      </w:r>
      <w:r w:rsidR="00370C8A">
        <w:rPr>
          <w:sz w:val="24"/>
          <w:szCs w:val="24"/>
        </w:rPr>
        <w:t>Collins 2011</w:t>
      </w:r>
      <w:r w:rsidR="009A153E">
        <w:rPr>
          <w:sz w:val="24"/>
          <w:szCs w:val="24"/>
        </w:rPr>
        <w:t xml:space="preserve">). </w:t>
      </w:r>
    </w:p>
    <w:p w14:paraId="1CE6D0EB" w14:textId="77777777" w:rsidR="009A153E" w:rsidRDefault="009A153E" w:rsidP="00616F27">
      <w:pPr>
        <w:spacing w:line="480" w:lineRule="auto"/>
        <w:rPr>
          <w:sz w:val="24"/>
          <w:szCs w:val="24"/>
        </w:rPr>
      </w:pPr>
    </w:p>
    <w:p w14:paraId="549AB4DB" w14:textId="77777777" w:rsidR="009A153E" w:rsidRDefault="009A153E" w:rsidP="00616F27">
      <w:pPr>
        <w:spacing w:line="480" w:lineRule="auto"/>
        <w:rPr>
          <w:b/>
          <w:bCs/>
          <w:sz w:val="24"/>
          <w:szCs w:val="24"/>
        </w:rPr>
      </w:pPr>
      <w:r w:rsidRPr="009A153E">
        <w:rPr>
          <w:b/>
          <w:bCs/>
          <w:sz w:val="24"/>
          <w:szCs w:val="24"/>
        </w:rPr>
        <w:t>Attribution Theory</w:t>
      </w:r>
    </w:p>
    <w:p w14:paraId="333CA48C" w14:textId="77777777" w:rsidR="009A153E" w:rsidRDefault="009A153E" w:rsidP="00616F27">
      <w:pPr>
        <w:spacing w:line="480" w:lineRule="auto"/>
        <w:rPr>
          <w:b/>
          <w:bCs/>
          <w:sz w:val="24"/>
          <w:szCs w:val="24"/>
        </w:rPr>
      </w:pPr>
    </w:p>
    <w:p w14:paraId="745010A1" w14:textId="0B44F330" w:rsidR="008958AA" w:rsidRDefault="00E901ED" w:rsidP="00616F27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The attribution theory is based on perception. To some degree I feel that this can relate to positive </w:t>
      </w:r>
      <w:r w:rsidR="002C7D86">
        <w:rPr>
          <w:sz w:val="24"/>
          <w:szCs w:val="24"/>
        </w:rPr>
        <w:t xml:space="preserve">self-talk. If you believe that you can obtain a goal you are more likely to achieve that goal, and </w:t>
      </w:r>
      <w:proofErr w:type="spellStart"/>
      <w:r w:rsidR="002C7D86">
        <w:rPr>
          <w:sz w:val="24"/>
          <w:szCs w:val="24"/>
        </w:rPr>
        <w:t>vise</w:t>
      </w:r>
      <w:proofErr w:type="spellEnd"/>
      <w:r w:rsidR="002C7D86">
        <w:rPr>
          <w:sz w:val="24"/>
          <w:szCs w:val="24"/>
        </w:rPr>
        <w:t xml:space="preserve"> versa (</w:t>
      </w:r>
      <w:r w:rsidR="00370C8A">
        <w:rPr>
          <w:sz w:val="24"/>
          <w:szCs w:val="24"/>
        </w:rPr>
        <w:t>Collins 2011</w:t>
      </w:r>
      <w:r w:rsidR="002C7D86">
        <w:rPr>
          <w:sz w:val="24"/>
          <w:szCs w:val="24"/>
        </w:rPr>
        <w:t xml:space="preserve">). </w:t>
      </w:r>
      <w:r w:rsidR="008F31D4">
        <w:rPr>
          <w:sz w:val="24"/>
          <w:szCs w:val="24"/>
        </w:rPr>
        <w:t xml:space="preserve">In my experience I have noticed this theory in the </w:t>
      </w:r>
      <w:r w:rsidR="00F134D0">
        <w:rPr>
          <w:sz w:val="24"/>
          <w:szCs w:val="24"/>
        </w:rPr>
        <w:t>amount</w:t>
      </w:r>
      <w:r w:rsidR="008F31D4">
        <w:rPr>
          <w:sz w:val="24"/>
          <w:szCs w:val="24"/>
        </w:rPr>
        <w:t xml:space="preserve"> of effort that is </w:t>
      </w:r>
      <w:r w:rsidR="0090335F">
        <w:rPr>
          <w:sz w:val="24"/>
          <w:szCs w:val="24"/>
        </w:rPr>
        <w:t>used,</w:t>
      </w:r>
      <w:r w:rsidR="008F31D4">
        <w:rPr>
          <w:sz w:val="24"/>
          <w:szCs w:val="24"/>
        </w:rPr>
        <w:t xml:space="preserve"> for example when </w:t>
      </w:r>
      <w:r w:rsidR="00F134D0">
        <w:rPr>
          <w:sz w:val="24"/>
          <w:szCs w:val="24"/>
        </w:rPr>
        <w:t>demonstrating</w:t>
      </w:r>
      <w:r w:rsidR="008F31D4">
        <w:rPr>
          <w:sz w:val="24"/>
          <w:szCs w:val="24"/>
        </w:rPr>
        <w:t xml:space="preserve"> oral hygiene techniques. When the client is involved and asking questions a better result is </w:t>
      </w:r>
      <w:r w:rsidR="00F134D0">
        <w:rPr>
          <w:sz w:val="24"/>
          <w:szCs w:val="24"/>
        </w:rPr>
        <w:t xml:space="preserve">the outcome. In relation to when a client is distant and not interested in discussing oral hygiene techniques </w:t>
      </w:r>
      <w:r w:rsidR="004574C0">
        <w:rPr>
          <w:sz w:val="24"/>
          <w:szCs w:val="24"/>
        </w:rPr>
        <w:t>at follow up care, I did not notice a difference in the inflammation status of the clients</w:t>
      </w:r>
      <w:r w:rsidR="00D050E7">
        <w:rPr>
          <w:sz w:val="24"/>
          <w:szCs w:val="24"/>
        </w:rPr>
        <w:t xml:space="preserve">’ </w:t>
      </w:r>
      <w:r w:rsidR="004574C0">
        <w:rPr>
          <w:sz w:val="24"/>
          <w:szCs w:val="24"/>
        </w:rPr>
        <w:t xml:space="preserve">gingiva. </w:t>
      </w:r>
      <w:r w:rsidR="008958AA">
        <w:rPr>
          <w:sz w:val="24"/>
          <w:szCs w:val="24"/>
        </w:rPr>
        <w:t>A barrier to this would be to encourage clients</w:t>
      </w:r>
      <w:r w:rsidR="00D050E7">
        <w:rPr>
          <w:sz w:val="24"/>
          <w:szCs w:val="24"/>
        </w:rPr>
        <w:t>’</w:t>
      </w:r>
      <w:r w:rsidR="008958AA">
        <w:rPr>
          <w:sz w:val="24"/>
          <w:szCs w:val="24"/>
        </w:rPr>
        <w:t xml:space="preserve"> and help them believe that they can achieve the desired outcome (</w:t>
      </w:r>
      <w:r w:rsidR="00370C8A">
        <w:rPr>
          <w:sz w:val="24"/>
          <w:szCs w:val="24"/>
        </w:rPr>
        <w:t>Collins 2011</w:t>
      </w:r>
      <w:r w:rsidR="008958AA">
        <w:rPr>
          <w:sz w:val="24"/>
          <w:szCs w:val="24"/>
        </w:rPr>
        <w:t xml:space="preserve">). </w:t>
      </w:r>
    </w:p>
    <w:p w14:paraId="585E5011" w14:textId="77777777" w:rsidR="008958AA" w:rsidRDefault="008958AA" w:rsidP="00616F27">
      <w:pPr>
        <w:spacing w:line="480" w:lineRule="auto"/>
        <w:rPr>
          <w:sz w:val="24"/>
          <w:szCs w:val="24"/>
        </w:rPr>
      </w:pPr>
    </w:p>
    <w:p w14:paraId="778F1768" w14:textId="77777777" w:rsidR="008958AA" w:rsidRDefault="008958AA" w:rsidP="00616F27">
      <w:pPr>
        <w:spacing w:line="480" w:lineRule="auto"/>
        <w:rPr>
          <w:b/>
          <w:bCs/>
          <w:sz w:val="24"/>
          <w:szCs w:val="24"/>
        </w:rPr>
      </w:pPr>
      <w:r w:rsidRPr="008958AA">
        <w:rPr>
          <w:b/>
          <w:bCs/>
          <w:sz w:val="24"/>
          <w:szCs w:val="24"/>
        </w:rPr>
        <w:t>Theory of Reasoned Action</w:t>
      </w:r>
    </w:p>
    <w:p w14:paraId="5F6880E5" w14:textId="77777777" w:rsidR="008958AA" w:rsidRDefault="008958AA" w:rsidP="00616F27">
      <w:pPr>
        <w:spacing w:line="480" w:lineRule="auto"/>
        <w:rPr>
          <w:b/>
          <w:bCs/>
          <w:sz w:val="24"/>
          <w:szCs w:val="24"/>
        </w:rPr>
      </w:pPr>
    </w:p>
    <w:p w14:paraId="2372B913" w14:textId="0FA421FD" w:rsidR="00244E40" w:rsidRDefault="004326B7" w:rsidP="00616F27">
      <w:pPr>
        <w:spacing w:line="480" w:lineRule="auto"/>
        <w:rPr>
          <w:sz w:val="24"/>
          <w:szCs w:val="24"/>
        </w:rPr>
      </w:pPr>
      <w:r w:rsidRPr="00CE674D">
        <w:rPr>
          <w:sz w:val="24"/>
          <w:szCs w:val="24"/>
        </w:rPr>
        <w:t xml:space="preserve">The </w:t>
      </w:r>
      <w:r w:rsidR="00CE674D" w:rsidRPr="00CE674D">
        <w:rPr>
          <w:sz w:val="24"/>
          <w:szCs w:val="24"/>
        </w:rPr>
        <w:t xml:space="preserve">theory of reasoned action is related to </w:t>
      </w:r>
      <w:r w:rsidR="00CE674D">
        <w:rPr>
          <w:sz w:val="24"/>
          <w:szCs w:val="24"/>
        </w:rPr>
        <w:t xml:space="preserve">influences that include, potential risks, expectations, </w:t>
      </w:r>
      <w:r w:rsidR="00C908A9">
        <w:rPr>
          <w:sz w:val="24"/>
          <w:szCs w:val="24"/>
        </w:rPr>
        <w:t>outcomes, and benefits (</w:t>
      </w:r>
      <w:r w:rsidR="00370C8A">
        <w:rPr>
          <w:sz w:val="24"/>
          <w:szCs w:val="24"/>
        </w:rPr>
        <w:t>Collins 2011</w:t>
      </w:r>
      <w:r w:rsidR="00C908A9">
        <w:rPr>
          <w:sz w:val="24"/>
          <w:szCs w:val="24"/>
        </w:rPr>
        <w:t xml:space="preserve">). To me </w:t>
      </w:r>
      <w:r w:rsidR="00481B52">
        <w:rPr>
          <w:sz w:val="24"/>
          <w:szCs w:val="24"/>
        </w:rPr>
        <w:t xml:space="preserve">I feel this is how most individuals make decisions. An </w:t>
      </w:r>
      <w:r w:rsidR="00481B52">
        <w:rPr>
          <w:sz w:val="24"/>
          <w:szCs w:val="24"/>
        </w:rPr>
        <w:lastRenderedPageBreak/>
        <w:t xml:space="preserve">example of an experience I encountered with this is a client believed that fluoride had a negative impact on them. After </w:t>
      </w:r>
      <w:r w:rsidR="00EE727B">
        <w:rPr>
          <w:sz w:val="24"/>
          <w:szCs w:val="24"/>
        </w:rPr>
        <w:t xml:space="preserve">oral hygiene education and discussing further this client still believed that fluoride would not benefit them. </w:t>
      </w:r>
      <w:r w:rsidR="001D762C">
        <w:rPr>
          <w:sz w:val="24"/>
          <w:szCs w:val="24"/>
        </w:rPr>
        <w:t xml:space="preserve">The potential hurdle I see with this is </w:t>
      </w:r>
      <w:r w:rsidR="00244E40">
        <w:rPr>
          <w:sz w:val="24"/>
          <w:szCs w:val="24"/>
        </w:rPr>
        <w:t xml:space="preserve">to be able to further convince </w:t>
      </w:r>
      <w:proofErr w:type="gramStart"/>
      <w:r w:rsidR="00244E40">
        <w:rPr>
          <w:sz w:val="24"/>
          <w:szCs w:val="24"/>
        </w:rPr>
        <w:t>clients</w:t>
      </w:r>
      <w:r w:rsidR="00D050E7">
        <w:rPr>
          <w:sz w:val="24"/>
          <w:szCs w:val="24"/>
        </w:rPr>
        <w:t>’</w:t>
      </w:r>
      <w:proofErr w:type="gramEnd"/>
      <w:r w:rsidR="00244E40">
        <w:rPr>
          <w:sz w:val="24"/>
          <w:szCs w:val="24"/>
        </w:rPr>
        <w:t xml:space="preserve"> of the </w:t>
      </w:r>
      <w:r w:rsidR="00B20351">
        <w:rPr>
          <w:sz w:val="24"/>
          <w:szCs w:val="24"/>
        </w:rPr>
        <w:t>actions (</w:t>
      </w:r>
      <w:r w:rsidR="00370C8A">
        <w:rPr>
          <w:sz w:val="24"/>
          <w:szCs w:val="24"/>
        </w:rPr>
        <w:t>Collins 2011</w:t>
      </w:r>
      <w:r w:rsidR="00244E40">
        <w:rPr>
          <w:sz w:val="24"/>
          <w:szCs w:val="24"/>
        </w:rPr>
        <w:t xml:space="preserve">). </w:t>
      </w:r>
    </w:p>
    <w:p w14:paraId="5002F773" w14:textId="77777777" w:rsidR="00244E40" w:rsidRDefault="00244E40" w:rsidP="00616F27">
      <w:pPr>
        <w:spacing w:line="480" w:lineRule="auto"/>
        <w:rPr>
          <w:sz w:val="24"/>
          <w:szCs w:val="24"/>
        </w:rPr>
      </w:pPr>
    </w:p>
    <w:p w14:paraId="21855935" w14:textId="77777777" w:rsidR="00975B3A" w:rsidRDefault="00975B3A" w:rsidP="00616F27">
      <w:pPr>
        <w:spacing w:line="480" w:lineRule="auto"/>
        <w:rPr>
          <w:b/>
          <w:bCs/>
          <w:sz w:val="24"/>
          <w:szCs w:val="24"/>
        </w:rPr>
      </w:pPr>
      <w:r w:rsidRPr="00975B3A">
        <w:rPr>
          <w:b/>
          <w:bCs/>
          <w:sz w:val="24"/>
          <w:szCs w:val="24"/>
        </w:rPr>
        <w:t xml:space="preserve">Health Belief Model </w:t>
      </w:r>
    </w:p>
    <w:p w14:paraId="729386AB" w14:textId="77777777" w:rsidR="00B20351" w:rsidRDefault="00B20351" w:rsidP="00616F27">
      <w:pPr>
        <w:spacing w:line="480" w:lineRule="auto"/>
        <w:rPr>
          <w:b/>
          <w:bCs/>
          <w:sz w:val="24"/>
          <w:szCs w:val="24"/>
        </w:rPr>
      </w:pPr>
    </w:p>
    <w:p w14:paraId="0BEEAB8F" w14:textId="6EA95251" w:rsidR="00B20351" w:rsidRDefault="00B20351" w:rsidP="00616F27">
      <w:pPr>
        <w:spacing w:line="480" w:lineRule="auto"/>
        <w:rPr>
          <w:sz w:val="24"/>
          <w:szCs w:val="24"/>
        </w:rPr>
      </w:pPr>
      <w:r w:rsidRPr="00B20351">
        <w:rPr>
          <w:sz w:val="24"/>
          <w:szCs w:val="24"/>
        </w:rPr>
        <w:t>The health belief model is one I feel I have encountered the most</w:t>
      </w:r>
      <w:r>
        <w:rPr>
          <w:sz w:val="24"/>
          <w:szCs w:val="24"/>
        </w:rPr>
        <w:t xml:space="preserve">, a great explanation of this is </w:t>
      </w:r>
      <w:r w:rsidR="00DB2C47">
        <w:rPr>
          <w:sz w:val="24"/>
          <w:szCs w:val="24"/>
        </w:rPr>
        <w:t xml:space="preserve">it “described how behavioural changes depends on the perceived threat of a health </w:t>
      </w:r>
      <w:r w:rsidR="0091570C">
        <w:rPr>
          <w:sz w:val="24"/>
          <w:szCs w:val="24"/>
        </w:rPr>
        <w:t>condition” (</w:t>
      </w:r>
      <w:r w:rsidR="00370C8A">
        <w:rPr>
          <w:sz w:val="24"/>
          <w:szCs w:val="24"/>
        </w:rPr>
        <w:t xml:space="preserve">Collins 2011, </w:t>
      </w:r>
      <w:r w:rsidR="00D47606">
        <w:rPr>
          <w:sz w:val="24"/>
          <w:szCs w:val="24"/>
        </w:rPr>
        <w:t xml:space="preserve">p.112). </w:t>
      </w:r>
      <w:r w:rsidR="002C1A48">
        <w:rPr>
          <w:sz w:val="24"/>
          <w:szCs w:val="24"/>
        </w:rPr>
        <w:t xml:space="preserve">In my personal experience with clients', some feel that teeth cleanings and </w:t>
      </w:r>
      <w:r w:rsidR="00487277">
        <w:rPr>
          <w:sz w:val="24"/>
          <w:szCs w:val="24"/>
        </w:rPr>
        <w:t xml:space="preserve">X-rays are unnecessary and that they </w:t>
      </w:r>
      <w:r w:rsidR="007E3C9F">
        <w:rPr>
          <w:sz w:val="24"/>
          <w:szCs w:val="24"/>
        </w:rPr>
        <w:t>can</w:t>
      </w:r>
      <w:r w:rsidR="00487277">
        <w:rPr>
          <w:sz w:val="24"/>
          <w:szCs w:val="24"/>
        </w:rPr>
        <w:t xml:space="preserve"> control things better at home. </w:t>
      </w:r>
      <w:r w:rsidR="007E3C9F">
        <w:rPr>
          <w:sz w:val="24"/>
          <w:szCs w:val="24"/>
        </w:rPr>
        <w:t>However,</w:t>
      </w:r>
      <w:r w:rsidR="00487277">
        <w:rPr>
          <w:sz w:val="24"/>
          <w:szCs w:val="24"/>
        </w:rPr>
        <w:t xml:space="preserve"> that is when oral </w:t>
      </w:r>
      <w:r w:rsidR="000E0F9F">
        <w:rPr>
          <w:sz w:val="24"/>
          <w:szCs w:val="24"/>
        </w:rPr>
        <w:t>hygiene e</w:t>
      </w:r>
      <w:r w:rsidR="00487277">
        <w:rPr>
          <w:sz w:val="24"/>
          <w:szCs w:val="24"/>
        </w:rPr>
        <w:t xml:space="preserve">ducation comes in handy, lots of the population </w:t>
      </w:r>
      <w:r w:rsidR="00475BB8">
        <w:rPr>
          <w:sz w:val="24"/>
          <w:szCs w:val="24"/>
        </w:rPr>
        <w:t xml:space="preserve">don’t understand that certain interventions are needed to maintain </w:t>
      </w:r>
      <w:r w:rsidR="007E3C9F">
        <w:rPr>
          <w:sz w:val="24"/>
          <w:szCs w:val="24"/>
        </w:rPr>
        <w:t xml:space="preserve">oral health. For </w:t>
      </w:r>
      <w:r w:rsidR="0091570C">
        <w:rPr>
          <w:sz w:val="24"/>
          <w:szCs w:val="24"/>
        </w:rPr>
        <w:t>example,</w:t>
      </w:r>
      <w:r w:rsidR="007E3C9F">
        <w:rPr>
          <w:sz w:val="24"/>
          <w:szCs w:val="24"/>
        </w:rPr>
        <w:t xml:space="preserve"> if </w:t>
      </w:r>
      <w:proofErr w:type="gramStart"/>
      <w:r w:rsidR="008350EF">
        <w:rPr>
          <w:sz w:val="24"/>
          <w:szCs w:val="24"/>
        </w:rPr>
        <w:t>clients</w:t>
      </w:r>
      <w:r w:rsidR="00D050E7">
        <w:rPr>
          <w:sz w:val="24"/>
          <w:szCs w:val="24"/>
        </w:rPr>
        <w:t>’</w:t>
      </w:r>
      <w:proofErr w:type="gramEnd"/>
      <w:r w:rsidR="007E3C9F">
        <w:rPr>
          <w:sz w:val="24"/>
          <w:szCs w:val="24"/>
        </w:rPr>
        <w:t xml:space="preserve"> don’t believe that </w:t>
      </w:r>
      <w:r w:rsidR="008D3339">
        <w:rPr>
          <w:sz w:val="24"/>
          <w:szCs w:val="24"/>
        </w:rPr>
        <w:t>they have periodontal disease or that it’s a concern for them, they are not likely to seek treatment (</w:t>
      </w:r>
      <w:r w:rsidR="00370C8A">
        <w:rPr>
          <w:sz w:val="24"/>
          <w:szCs w:val="24"/>
        </w:rPr>
        <w:t>Collins 2011</w:t>
      </w:r>
      <w:r w:rsidR="008D3339">
        <w:rPr>
          <w:sz w:val="24"/>
          <w:szCs w:val="24"/>
        </w:rPr>
        <w:t xml:space="preserve">). </w:t>
      </w:r>
    </w:p>
    <w:p w14:paraId="1AB58A65" w14:textId="77777777" w:rsidR="008D3339" w:rsidRDefault="008D3339" w:rsidP="00616F27">
      <w:pPr>
        <w:spacing w:line="480" w:lineRule="auto"/>
        <w:rPr>
          <w:sz w:val="24"/>
          <w:szCs w:val="24"/>
        </w:rPr>
      </w:pPr>
    </w:p>
    <w:p w14:paraId="0CE089F7" w14:textId="70AF55AE" w:rsidR="008D3339" w:rsidRDefault="008D3339" w:rsidP="00616F27">
      <w:pPr>
        <w:spacing w:line="480" w:lineRule="auto"/>
        <w:rPr>
          <w:b/>
          <w:bCs/>
          <w:sz w:val="24"/>
          <w:szCs w:val="24"/>
        </w:rPr>
      </w:pPr>
      <w:r w:rsidRPr="008D3339">
        <w:rPr>
          <w:b/>
          <w:bCs/>
          <w:sz w:val="24"/>
          <w:szCs w:val="24"/>
        </w:rPr>
        <w:t xml:space="preserve">Transtheoretical Model </w:t>
      </w:r>
    </w:p>
    <w:p w14:paraId="1BF5B366" w14:textId="77777777" w:rsidR="008D3339" w:rsidRDefault="008D3339" w:rsidP="00616F27">
      <w:pPr>
        <w:spacing w:line="480" w:lineRule="auto"/>
        <w:rPr>
          <w:b/>
          <w:bCs/>
          <w:sz w:val="24"/>
          <w:szCs w:val="24"/>
        </w:rPr>
      </w:pPr>
    </w:p>
    <w:p w14:paraId="01D8692D" w14:textId="36158B9B" w:rsidR="008D3339" w:rsidRDefault="002C2137" w:rsidP="00616F27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This model is most directly related to </w:t>
      </w:r>
      <w:r w:rsidR="00F55F41">
        <w:rPr>
          <w:sz w:val="24"/>
          <w:szCs w:val="24"/>
        </w:rPr>
        <w:t xml:space="preserve">us in clinic as tobacco cessation. This model was developed for substance </w:t>
      </w:r>
      <w:r w:rsidR="0091570C">
        <w:rPr>
          <w:sz w:val="24"/>
          <w:szCs w:val="24"/>
        </w:rPr>
        <w:t>addictions and</w:t>
      </w:r>
      <w:r w:rsidR="00066CB8">
        <w:rPr>
          <w:sz w:val="24"/>
          <w:szCs w:val="24"/>
        </w:rPr>
        <w:t xml:space="preserve"> has been used for health promotion (</w:t>
      </w:r>
      <w:r w:rsidR="00370C8A">
        <w:rPr>
          <w:sz w:val="24"/>
          <w:szCs w:val="24"/>
        </w:rPr>
        <w:t>Collins 2011</w:t>
      </w:r>
      <w:r w:rsidR="00066CB8">
        <w:rPr>
          <w:sz w:val="24"/>
          <w:szCs w:val="24"/>
        </w:rPr>
        <w:t xml:space="preserve">). </w:t>
      </w:r>
      <w:r w:rsidR="0058786A">
        <w:rPr>
          <w:sz w:val="24"/>
          <w:szCs w:val="24"/>
        </w:rPr>
        <w:t>The use of this model is to place individuals into categories, with the potential for relapse and for maintenance as well (</w:t>
      </w:r>
      <w:r w:rsidR="00370C8A">
        <w:rPr>
          <w:sz w:val="24"/>
          <w:szCs w:val="24"/>
        </w:rPr>
        <w:t>Collins 2011</w:t>
      </w:r>
      <w:r w:rsidR="0058786A">
        <w:rPr>
          <w:sz w:val="24"/>
          <w:szCs w:val="24"/>
        </w:rPr>
        <w:t xml:space="preserve">). </w:t>
      </w:r>
      <w:r w:rsidR="00CC5B96">
        <w:rPr>
          <w:sz w:val="24"/>
          <w:szCs w:val="24"/>
        </w:rPr>
        <w:t xml:space="preserve">The transtheoretical model includes several stages such as pre-contemplation, contemplation, </w:t>
      </w:r>
      <w:r w:rsidR="008C5F2D">
        <w:rPr>
          <w:sz w:val="24"/>
          <w:szCs w:val="24"/>
        </w:rPr>
        <w:t xml:space="preserve">preparation, action, </w:t>
      </w:r>
      <w:r w:rsidR="0091570C">
        <w:rPr>
          <w:sz w:val="24"/>
          <w:szCs w:val="24"/>
        </w:rPr>
        <w:t>maintenance,</w:t>
      </w:r>
      <w:r w:rsidR="008C5F2D">
        <w:rPr>
          <w:sz w:val="24"/>
          <w:szCs w:val="24"/>
        </w:rPr>
        <w:t xml:space="preserve"> and </w:t>
      </w:r>
      <w:r w:rsidR="0091570C">
        <w:rPr>
          <w:sz w:val="24"/>
          <w:szCs w:val="24"/>
        </w:rPr>
        <w:t>relapse (</w:t>
      </w:r>
      <w:r w:rsidR="00370C8A">
        <w:rPr>
          <w:sz w:val="24"/>
          <w:szCs w:val="24"/>
        </w:rPr>
        <w:t>Collins 2011</w:t>
      </w:r>
      <w:r w:rsidR="008C5F2D">
        <w:rPr>
          <w:sz w:val="24"/>
          <w:szCs w:val="24"/>
        </w:rPr>
        <w:t xml:space="preserve">). </w:t>
      </w:r>
      <w:r w:rsidR="005B3E1C">
        <w:rPr>
          <w:sz w:val="24"/>
          <w:szCs w:val="24"/>
        </w:rPr>
        <w:t xml:space="preserve">During </w:t>
      </w:r>
      <w:r w:rsidR="007B2B39">
        <w:rPr>
          <w:sz w:val="24"/>
          <w:szCs w:val="24"/>
        </w:rPr>
        <w:t xml:space="preserve">the tobacco cessation I delivered for my client I also explained all the stages to them so they had a better understanding of the way their </w:t>
      </w:r>
      <w:r w:rsidR="007B2B39">
        <w:rPr>
          <w:sz w:val="24"/>
          <w:szCs w:val="24"/>
        </w:rPr>
        <w:lastRenderedPageBreak/>
        <w:t xml:space="preserve">own progress would </w:t>
      </w:r>
      <w:r w:rsidR="008350EF">
        <w:rPr>
          <w:sz w:val="24"/>
          <w:szCs w:val="24"/>
        </w:rPr>
        <w:t xml:space="preserve">develop. </w:t>
      </w:r>
      <w:r w:rsidR="00F07D19">
        <w:rPr>
          <w:sz w:val="24"/>
          <w:szCs w:val="24"/>
        </w:rPr>
        <w:t xml:space="preserve">A potential hurdle for this I could see is that if the client is dishonest or believes that they are in a different category than they </w:t>
      </w:r>
      <w:proofErr w:type="gramStart"/>
      <w:r w:rsidR="00F07D19">
        <w:rPr>
          <w:sz w:val="24"/>
          <w:szCs w:val="24"/>
        </w:rPr>
        <w:t>actually are</w:t>
      </w:r>
      <w:proofErr w:type="gramEnd"/>
      <w:r w:rsidR="00F07D19">
        <w:rPr>
          <w:sz w:val="24"/>
          <w:szCs w:val="24"/>
        </w:rPr>
        <w:t xml:space="preserve">. </w:t>
      </w:r>
    </w:p>
    <w:p w14:paraId="3D967410" w14:textId="77777777" w:rsidR="00FF6025" w:rsidRDefault="00FF6025" w:rsidP="00616F27">
      <w:pPr>
        <w:spacing w:line="480" w:lineRule="auto"/>
        <w:rPr>
          <w:sz w:val="24"/>
          <w:szCs w:val="24"/>
        </w:rPr>
      </w:pPr>
    </w:p>
    <w:p w14:paraId="2C929D91" w14:textId="1E75549E" w:rsidR="00FF6025" w:rsidRDefault="00FF6025" w:rsidP="00616F27">
      <w:pPr>
        <w:spacing w:line="480" w:lineRule="auto"/>
        <w:rPr>
          <w:b/>
          <w:bCs/>
          <w:sz w:val="24"/>
          <w:szCs w:val="24"/>
        </w:rPr>
      </w:pPr>
      <w:r w:rsidRPr="00FF6025">
        <w:rPr>
          <w:b/>
          <w:bCs/>
          <w:sz w:val="24"/>
          <w:szCs w:val="24"/>
        </w:rPr>
        <w:t>Conversational interviewing</w:t>
      </w:r>
    </w:p>
    <w:p w14:paraId="140FE84F" w14:textId="77777777" w:rsidR="00FF6025" w:rsidRDefault="00FF6025" w:rsidP="00616F27">
      <w:pPr>
        <w:spacing w:line="480" w:lineRule="auto"/>
        <w:rPr>
          <w:b/>
          <w:bCs/>
          <w:sz w:val="24"/>
          <w:szCs w:val="24"/>
        </w:rPr>
      </w:pPr>
    </w:p>
    <w:p w14:paraId="056B669D" w14:textId="22C7F9E7" w:rsidR="00A1492B" w:rsidRDefault="005E09DF" w:rsidP="00616F27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I personally feel like conversational interviewing to some degree should be involved in the dental hygiene process of care. Conversational interviewing </w:t>
      </w:r>
      <w:r w:rsidR="00B64F9D">
        <w:rPr>
          <w:sz w:val="24"/>
          <w:szCs w:val="24"/>
        </w:rPr>
        <w:t xml:space="preserve">is related to if the intervention </w:t>
      </w:r>
      <w:r w:rsidR="00731B01">
        <w:rPr>
          <w:sz w:val="24"/>
          <w:szCs w:val="24"/>
        </w:rPr>
        <w:t>compliments the client (</w:t>
      </w:r>
      <w:r w:rsidR="00370C8A">
        <w:rPr>
          <w:sz w:val="24"/>
          <w:szCs w:val="24"/>
        </w:rPr>
        <w:t>Collins 2011</w:t>
      </w:r>
      <w:r w:rsidR="00731B01">
        <w:rPr>
          <w:sz w:val="24"/>
          <w:szCs w:val="24"/>
        </w:rPr>
        <w:t xml:space="preserve">). Open ended questions </w:t>
      </w:r>
      <w:r w:rsidR="00B826C3">
        <w:rPr>
          <w:sz w:val="24"/>
          <w:szCs w:val="24"/>
        </w:rPr>
        <w:t xml:space="preserve">about the client can better aid the clinician in obtaining a thorough health, social, and dental history in result better </w:t>
      </w:r>
      <w:r w:rsidR="00AA2FC3">
        <w:rPr>
          <w:sz w:val="24"/>
          <w:szCs w:val="24"/>
        </w:rPr>
        <w:t>care (</w:t>
      </w:r>
      <w:r w:rsidR="00370C8A">
        <w:rPr>
          <w:sz w:val="24"/>
          <w:szCs w:val="24"/>
        </w:rPr>
        <w:t>Collins 2011)</w:t>
      </w:r>
      <w:r w:rsidR="00AA2FC3">
        <w:rPr>
          <w:sz w:val="24"/>
          <w:szCs w:val="24"/>
        </w:rPr>
        <w:t xml:space="preserve">. An example of this is on the basic health and dental history we </w:t>
      </w:r>
      <w:r w:rsidR="002B7375">
        <w:rPr>
          <w:sz w:val="24"/>
          <w:szCs w:val="24"/>
        </w:rPr>
        <w:t xml:space="preserve">interview our </w:t>
      </w:r>
      <w:proofErr w:type="gramStart"/>
      <w:r w:rsidR="00F97422">
        <w:rPr>
          <w:sz w:val="24"/>
          <w:szCs w:val="24"/>
        </w:rPr>
        <w:t>clients</w:t>
      </w:r>
      <w:r w:rsidR="00D050E7">
        <w:rPr>
          <w:sz w:val="24"/>
          <w:szCs w:val="24"/>
        </w:rPr>
        <w:t>’</w:t>
      </w:r>
      <w:proofErr w:type="gramEnd"/>
      <w:r w:rsidR="002B7375">
        <w:rPr>
          <w:sz w:val="24"/>
          <w:szCs w:val="24"/>
        </w:rPr>
        <w:t xml:space="preserve"> on cultural considerations and </w:t>
      </w:r>
      <w:r w:rsidR="00EA3BD7">
        <w:rPr>
          <w:sz w:val="24"/>
          <w:szCs w:val="24"/>
        </w:rPr>
        <w:t xml:space="preserve">how they demonstrate daily oral hygiene. I feel a potential barrier to this would be that </w:t>
      </w:r>
      <w:r w:rsidR="00A15462">
        <w:rPr>
          <w:sz w:val="24"/>
          <w:szCs w:val="24"/>
        </w:rPr>
        <w:t>clients' do not wish to share on certain topics. I think to overcome</w:t>
      </w:r>
      <w:r w:rsidR="00435BE3">
        <w:rPr>
          <w:sz w:val="24"/>
          <w:szCs w:val="24"/>
        </w:rPr>
        <w:t xml:space="preserve">, </w:t>
      </w:r>
      <w:r w:rsidR="00A15462">
        <w:rPr>
          <w:sz w:val="24"/>
          <w:szCs w:val="24"/>
        </w:rPr>
        <w:t xml:space="preserve">a conversation about </w:t>
      </w:r>
      <w:r w:rsidR="00A1492B">
        <w:rPr>
          <w:sz w:val="24"/>
          <w:szCs w:val="24"/>
        </w:rPr>
        <w:t xml:space="preserve">patient confidentiality would be in order. </w:t>
      </w:r>
    </w:p>
    <w:p w14:paraId="7CC8E3CB" w14:textId="77777777" w:rsidR="00A1492B" w:rsidRDefault="00A1492B" w:rsidP="00616F27">
      <w:pPr>
        <w:spacing w:line="480" w:lineRule="auto"/>
        <w:rPr>
          <w:sz w:val="24"/>
          <w:szCs w:val="24"/>
        </w:rPr>
      </w:pPr>
    </w:p>
    <w:p w14:paraId="32CA0E9B" w14:textId="77777777" w:rsidR="00A1492B" w:rsidRDefault="00A1492B" w:rsidP="00616F27">
      <w:pPr>
        <w:spacing w:line="480" w:lineRule="auto"/>
        <w:rPr>
          <w:b/>
          <w:bCs/>
          <w:sz w:val="24"/>
          <w:szCs w:val="24"/>
        </w:rPr>
      </w:pPr>
      <w:r w:rsidRPr="00A1492B">
        <w:rPr>
          <w:b/>
          <w:bCs/>
          <w:sz w:val="24"/>
          <w:szCs w:val="24"/>
        </w:rPr>
        <w:t xml:space="preserve">Motivational interview </w:t>
      </w:r>
    </w:p>
    <w:p w14:paraId="4EB9A127" w14:textId="77777777" w:rsidR="00A1492B" w:rsidRDefault="00A1492B" w:rsidP="00616F27">
      <w:pPr>
        <w:spacing w:line="480" w:lineRule="auto"/>
        <w:rPr>
          <w:b/>
          <w:bCs/>
          <w:sz w:val="24"/>
          <w:szCs w:val="24"/>
        </w:rPr>
      </w:pPr>
    </w:p>
    <w:p w14:paraId="041C68C5" w14:textId="638EBCC6" w:rsidR="00DD375E" w:rsidRPr="00B2739C" w:rsidRDefault="00B2739C" w:rsidP="00616F27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Like conversational interviewing the use of </w:t>
      </w:r>
      <w:r w:rsidR="00791954">
        <w:rPr>
          <w:sz w:val="24"/>
          <w:szCs w:val="24"/>
        </w:rPr>
        <w:t>open-ended</w:t>
      </w:r>
      <w:r>
        <w:rPr>
          <w:sz w:val="24"/>
          <w:szCs w:val="24"/>
        </w:rPr>
        <w:t xml:space="preserve"> questions are </w:t>
      </w:r>
      <w:r w:rsidR="00F97422">
        <w:rPr>
          <w:sz w:val="24"/>
          <w:szCs w:val="24"/>
        </w:rPr>
        <w:t>involved and</w:t>
      </w:r>
      <w:r w:rsidR="002C0604">
        <w:rPr>
          <w:sz w:val="24"/>
          <w:szCs w:val="24"/>
        </w:rPr>
        <w:t xml:space="preserve"> is used to establish a professional client and clinician relationship, in addition to </w:t>
      </w:r>
      <w:r w:rsidR="00B915E9">
        <w:rPr>
          <w:sz w:val="24"/>
          <w:szCs w:val="24"/>
        </w:rPr>
        <w:t xml:space="preserve">provide </w:t>
      </w:r>
      <w:r w:rsidR="00B55826">
        <w:rPr>
          <w:sz w:val="24"/>
          <w:szCs w:val="24"/>
        </w:rPr>
        <w:t>support (</w:t>
      </w:r>
      <w:r w:rsidR="00370C8A">
        <w:rPr>
          <w:sz w:val="24"/>
          <w:szCs w:val="24"/>
        </w:rPr>
        <w:t>Collins 2011)</w:t>
      </w:r>
      <w:r w:rsidR="00B915E9">
        <w:rPr>
          <w:sz w:val="24"/>
          <w:szCs w:val="24"/>
        </w:rPr>
        <w:t xml:space="preserve">. The difference in motivational interviewing is that it </w:t>
      </w:r>
      <w:proofErr w:type="spellStart"/>
      <w:r w:rsidR="00B4176E">
        <w:rPr>
          <w:sz w:val="24"/>
          <w:szCs w:val="24"/>
        </w:rPr>
        <w:t>it</w:t>
      </w:r>
      <w:proofErr w:type="spellEnd"/>
      <w:r w:rsidR="00B4176E">
        <w:rPr>
          <w:sz w:val="24"/>
          <w:szCs w:val="24"/>
        </w:rPr>
        <w:t xml:space="preserve"> uses the transtheoretical model to imple</w:t>
      </w:r>
      <w:r w:rsidR="00B55826">
        <w:rPr>
          <w:sz w:val="24"/>
          <w:szCs w:val="24"/>
        </w:rPr>
        <w:t>ment change (</w:t>
      </w:r>
      <w:r w:rsidR="00370C8A">
        <w:rPr>
          <w:sz w:val="24"/>
          <w:szCs w:val="24"/>
        </w:rPr>
        <w:t>Collins 2011</w:t>
      </w:r>
      <w:r w:rsidR="00B55826">
        <w:rPr>
          <w:sz w:val="24"/>
          <w:szCs w:val="24"/>
        </w:rPr>
        <w:t xml:space="preserve">). </w:t>
      </w:r>
      <w:r w:rsidR="0050419D">
        <w:rPr>
          <w:sz w:val="24"/>
          <w:szCs w:val="24"/>
        </w:rPr>
        <w:t xml:space="preserve">Another example of this </w:t>
      </w:r>
      <w:r w:rsidR="00455A32">
        <w:rPr>
          <w:sz w:val="24"/>
          <w:szCs w:val="24"/>
        </w:rPr>
        <w:t xml:space="preserve">is </w:t>
      </w:r>
      <w:r w:rsidR="00582B21">
        <w:rPr>
          <w:sz w:val="24"/>
          <w:szCs w:val="24"/>
        </w:rPr>
        <w:t xml:space="preserve">during each clients' care. I find that discussing </w:t>
      </w:r>
      <w:r w:rsidR="00655D6A">
        <w:rPr>
          <w:sz w:val="24"/>
          <w:szCs w:val="24"/>
        </w:rPr>
        <w:t xml:space="preserve">clients' experiences and their own opinions of </w:t>
      </w:r>
      <w:r w:rsidR="00390CBF">
        <w:rPr>
          <w:sz w:val="24"/>
          <w:szCs w:val="24"/>
        </w:rPr>
        <w:t xml:space="preserve">for example oral health, periodontal disease and more it can give me as a clinician a better idea of treatment options. </w:t>
      </w:r>
      <w:r w:rsidR="00DD375E">
        <w:rPr>
          <w:sz w:val="24"/>
          <w:szCs w:val="24"/>
        </w:rPr>
        <w:t xml:space="preserve">To conclude these theories and models allow </w:t>
      </w:r>
      <w:r w:rsidR="00616F27">
        <w:rPr>
          <w:sz w:val="24"/>
          <w:szCs w:val="24"/>
        </w:rPr>
        <w:t>clinicians</w:t>
      </w:r>
      <w:r w:rsidR="002E77BB">
        <w:rPr>
          <w:sz w:val="24"/>
          <w:szCs w:val="24"/>
        </w:rPr>
        <w:t xml:space="preserve"> an opportunity to better understand the clients</w:t>
      </w:r>
      <w:r w:rsidR="00D050E7">
        <w:rPr>
          <w:sz w:val="24"/>
          <w:szCs w:val="24"/>
        </w:rPr>
        <w:t>’</w:t>
      </w:r>
      <w:r w:rsidR="002E77BB">
        <w:rPr>
          <w:sz w:val="24"/>
          <w:szCs w:val="24"/>
        </w:rPr>
        <w:t xml:space="preserve"> reasoning and </w:t>
      </w:r>
      <w:r w:rsidR="00006783">
        <w:rPr>
          <w:sz w:val="24"/>
          <w:szCs w:val="24"/>
        </w:rPr>
        <w:t>to be</w:t>
      </w:r>
      <w:r w:rsidR="00616F27">
        <w:rPr>
          <w:sz w:val="24"/>
          <w:szCs w:val="24"/>
        </w:rPr>
        <w:t xml:space="preserve"> able to provide great dental hygiene care. </w:t>
      </w:r>
    </w:p>
    <w:p w14:paraId="4F4F8DEB" w14:textId="3F9982FB" w:rsidR="005F7387" w:rsidRPr="00AC469D" w:rsidRDefault="00C056B5" w:rsidP="00AC469D">
      <w:pPr>
        <w:jc w:val="center"/>
        <w:rPr>
          <w:b/>
          <w:bCs/>
          <w:sz w:val="24"/>
          <w:szCs w:val="24"/>
        </w:rPr>
      </w:pPr>
      <w:r w:rsidRPr="00A1492B">
        <w:rPr>
          <w:b/>
          <w:bCs/>
          <w:sz w:val="24"/>
          <w:szCs w:val="24"/>
        </w:rPr>
        <w:br w:type="page"/>
      </w:r>
      <w:r w:rsidR="005F7387">
        <w:rPr>
          <w:sz w:val="24"/>
          <w:szCs w:val="24"/>
        </w:rPr>
        <w:lastRenderedPageBreak/>
        <w:t>LITERATURE CITED</w:t>
      </w:r>
    </w:p>
    <w:p w14:paraId="543AAD49" w14:textId="77777777" w:rsidR="00C056B5" w:rsidRDefault="00C056B5" w:rsidP="005F7387">
      <w:pPr>
        <w:jc w:val="center"/>
        <w:rPr>
          <w:sz w:val="24"/>
          <w:szCs w:val="24"/>
        </w:rPr>
      </w:pPr>
    </w:p>
    <w:p w14:paraId="01E78DB3" w14:textId="77777777" w:rsidR="00C056B5" w:rsidRPr="00370C8A" w:rsidRDefault="00C056B5" w:rsidP="005F7387">
      <w:pPr>
        <w:jc w:val="center"/>
        <w:rPr>
          <w:color w:val="000000" w:themeColor="text1"/>
          <w:sz w:val="24"/>
          <w:szCs w:val="24"/>
        </w:rPr>
      </w:pPr>
    </w:p>
    <w:p w14:paraId="094CF4AD" w14:textId="184A68AA" w:rsidR="00C056B5" w:rsidRPr="00370C8A" w:rsidRDefault="004415BC" w:rsidP="00DA591B">
      <w:pPr>
        <w:ind w:left="720" w:hanging="720"/>
        <w:rPr>
          <w:color w:val="000000" w:themeColor="text1"/>
          <w:sz w:val="24"/>
          <w:szCs w:val="24"/>
        </w:rPr>
      </w:pPr>
      <w:r w:rsidRPr="00370C8A">
        <w:rPr>
          <w:color w:val="000000" w:themeColor="text1"/>
          <w:sz w:val="24"/>
          <w:szCs w:val="24"/>
        </w:rPr>
        <w:t xml:space="preserve">Collins SM. An overview of health </w:t>
      </w:r>
      <w:r w:rsidR="005C37DB" w:rsidRPr="00370C8A">
        <w:rPr>
          <w:color w:val="000000" w:themeColor="text1"/>
          <w:sz w:val="24"/>
          <w:szCs w:val="24"/>
        </w:rPr>
        <w:t>behavioural</w:t>
      </w:r>
      <w:r w:rsidRPr="00370C8A">
        <w:rPr>
          <w:color w:val="000000" w:themeColor="text1"/>
          <w:sz w:val="24"/>
          <w:szCs w:val="24"/>
        </w:rPr>
        <w:t xml:space="preserve"> change theories and models: interventions for the dental hygienist to improve client motivation and compliance</w:t>
      </w:r>
      <w:r w:rsidR="00ED2DEA" w:rsidRPr="00370C8A">
        <w:rPr>
          <w:color w:val="000000" w:themeColor="text1"/>
          <w:sz w:val="24"/>
          <w:szCs w:val="24"/>
        </w:rPr>
        <w:t xml:space="preserve">. </w:t>
      </w:r>
      <w:r w:rsidR="007C4617" w:rsidRPr="00370C8A">
        <w:rPr>
          <w:color w:val="000000" w:themeColor="text1"/>
          <w:sz w:val="24"/>
          <w:szCs w:val="24"/>
        </w:rPr>
        <w:t xml:space="preserve">Can J Dent </w:t>
      </w:r>
      <w:proofErr w:type="spellStart"/>
      <w:r w:rsidR="007C4617" w:rsidRPr="00370C8A">
        <w:rPr>
          <w:color w:val="000000" w:themeColor="text1"/>
          <w:sz w:val="24"/>
          <w:szCs w:val="24"/>
        </w:rPr>
        <w:t>Hyg</w:t>
      </w:r>
      <w:proofErr w:type="spellEnd"/>
      <w:r w:rsidR="007C4617" w:rsidRPr="00370C8A">
        <w:rPr>
          <w:color w:val="000000" w:themeColor="text1"/>
          <w:sz w:val="24"/>
          <w:szCs w:val="24"/>
        </w:rPr>
        <w:t xml:space="preserve">. </w:t>
      </w:r>
      <w:r w:rsidR="008E5B9E" w:rsidRPr="00370C8A">
        <w:rPr>
          <w:color w:val="000000" w:themeColor="text1"/>
          <w:sz w:val="24"/>
          <w:szCs w:val="24"/>
        </w:rPr>
        <w:t xml:space="preserve">[Internet] </w:t>
      </w:r>
      <w:r w:rsidR="000B787A" w:rsidRPr="00370C8A">
        <w:rPr>
          <w:color w:val="000000" w:themeColor="text1"/>
          <w:sz w:val="24"/>
          <w:szCs w:val="24"/>
        </w:rPr>
        <w:t xml:space="preserve">2011 [Cited Nov 15, 2024]; </w:t>
      </w:r>
      <w:r w:rsidR="00B4481C" w:rsidRPr="00370C8A">
        <w:rPr>
          <w:color w:val="000000" w:themeColor="text1"/>
          <w:sz w:val="24"/>
          <w:szCs w:val="24"/>
        </w:rPr>
        <w:t>45(2)</w:t>
      </w:r>
      <w:r w:rsidR="00D25598" w:rsidRPr="00370C8A">
        <w:rPr>
          <w:color w:val="000000" w:themeColor="text1"/>
          <w:sz w:val="24"/>
          <w:szCs w:val="24"/>
        </w:rPr>
        <w:t xml:space="preserve">: 109-15. Available from: </w:t>
      </w:r>
      <w:hyperlink r:id="rId7" w:history="1">
        <w:r w:rsidR="00D25598" w:rsidRPr="00370C8A">
          <w:rPr>
            <w:rStyle w:val="Hyperlink"/>
            <w:color w:val="000000" w:themeColor="text1"/>
            <w:sz w:val="24"/>
            <w:szCs w:val="24"/>
          </w:rPr>
          <w:t>https://files.cdha.ca/profession/journal/2134.pdf</w:t>
        </w:r>
      </w:hyperlink>
      <w:r w:rsidR="00C056B5" w:rsidRPr="00370C8A">
        <w:rPr>
          <w:color w:val="000000" w:themeColor="text1"/>
          <w:sz w:val="24"/>
          <w:szCs w:val="24"/>
        </w:rPr>
        <w:t xml:space="preserve"> </w:t>
      </w:r>
    </w:p>
    <w:p w14:paraId="49FEDDAA" w14:textId="77777777" w:rsidR="00C056B5" w:rsidRPr="00370C8A" w:rsidRDefault="00C056B5" w:rsidP="00DA591B">
      <w:pPr>
        <w:ind w:left="720" w:hanging="720"/>
        <w:jc w:val="center"/>
        <w:rPr>
          <w:color w:val="000000" w:themeColor="text1"/>
          <w:sz w:val="24"/>
          <w:szCs w:val="24"/>
        </w:rPr>
      </w:pPr>
    </w:p>
    <w:p w14:paraId="523F572B" w14:textId="7162A70B" w:rsidR="00EC34E3" w:rsidRPr="00AC469D" w:rsidRDefault="00670081" w:rsidP="00AC469D">
      <w:pPr>
        <w:ind w:left="720" w:hanging="720"/>
        <w:rPr>
          <w:color w:val="000000" w:themeColor="text1"/>
          <w:sz w:val="24"/>
          <w:szCs w:val="24"/>
        </w:rPr>
        <w:sectPr w:rsidR="00EC34E3" w:rsidRPr="00AC469D" w:rsidSect="005F7387">
          <w:headerReference w:type="default" r:id="rId8"/>
          <w:pgSz w:w="12240" w:h="15840"/>
          <w:pgMar w:top="22" w:right="900" w:bottom="1440" w:left="1440" w:header="708" w:footer="708" w:gutter="0"/>
          <w:cols w:space="708"/>
          <w:docGrid w:linePitch="360"/>
        </w:sectPr>
      </w:pPr>
      <w:r w:rsidRPr="00370C8A">
        <w:rPr>
          <w:color w:val="000000" w:themeColor="text1"/>
          <w:sz w:val="24"/>
          <w:szCs w:val="24"/>
        </w:rPr>
        <w:t xml:space="preserve">Gallagher MW. Self-Efficacy. </w:t>
      </w:r>
      <w:proofErr w:type="spellStart"/>
      <w:r w:rsidR="00697FAB" w:rsidRPr="00370C8A">
        <w:rPr>
          <w:color w:val="000000" w:themeColor="text1"/>
          <w:sz w:val="24"/>
          <w:szCs w:val="24"/>
        </w:rPr>
        <w:t>Encyclopedia</w:t>
      </w:r>
      <w:proofErr w:type="spellEnd"/>
      <w:r w:rsidR="00E34345" w:rsidRPr="00370C8A">
        <w:rPr>
          <w:color w:val="000000" w:themeColor="text1"/>
          <w:sz w:val="24"/>
          <w:szCs w:val="24"/>
        </w:rPr>
        <w:t xml:space="preserve"> of Human Behaviour</w:t>
      </w:r>
      <w:r w:rsidR="00B729D8" w:rsidRPr="00370C8A">
        <w:rPr>
          <w:color w:val="000000" w:themeColor="text1"/>
          <w:sz w:val="24"/>
          <w:szCs w:val="24"/>
        </w:rPr>
        <w:t>. [Internet] 2012 [Cited Nov 15, 2024]</w:t>
      </w:r>
      <w:r w:rsidR="00697FAB" w:rsidRPr="00370C8A">
        <w:rPr>
          <w:color w:val="000000" w:themeColor="text1"/>
          <w:sz w:val="24"/>
          <w:szCs w:val="24"/>
        </w:rPr>
        <w:t xml:space="preserve">; </w:t>
      </w:r>
      <w:r w:rsidR="00DA591B" w:rsidRPr="00370C8A">
        <w:rPr>
          <w:color w:val="000000" w:themeColor="text1"/>
          <w:sz w:val="24"/>
          <w:szCs w:val="24"/>
        </w:rPr>
        <w:t>(2): 314-20.</w:t>
      </w:r>
      <w:r w:rsidR="00697FAB" w:rsidRPr="00370C8A">
        <w:rPr>
          <w:color w:val="000000" w:themeColor="text1"/>
          <w:sz w:val="24"/>
          <w:szCs w:val="24"/>
        </w:rPr>
        <w:t xml:space="preserve"> Available from:</w:t>
      </w:r>
      <w:r w:rsidR="00DA591B" w:rsidRPr="00370C8A">
        <w:rPr>
          <w:color w:val="000000" w:themeColor="text1"/>
          <w:sz w:val="24"/>
          <w:szCs w:val="24"/>
        </w:rPr>
        <w:t xml:space="preserve"> </w:t>
      </w:r>
      <w:hyperlink r:id="rId9" w:history="1">
        <w:r w:rsidR="00DA591B" w:rsidRPr="00370C8A">
          <w:rPr>
            <w:rStyle w:val="Hyperlink"/>
            <w:color w:val="000000" w:themeColor="text1"/>
            <w:sz w:val="24"/>
            <w:szCs w:val="24"/>
          </w:rPr>
          <w:t>https://www.sciencedirect.com/science/article/abs/pii/B9780123750006003128</w:t>
        </w:r>
      </w:hyperlink>
      <w:r w:rsidR="00EC34E3" w:rsidRPr="00370C8A">
        <w:rPr>
          <w:color w:val="000000" w:themeColor="text1"/>
          <w:sz w:val="24"/>
          <w:szCs w:val="24"/>
        </w:rPr>
        <w:t xml:space="preserve"> </w:t>
      </w:r>
    </w:p>
    <w:p w14:paraId="62FFFE49" w14:textId="77777777" w:rsidR="005F7387" w:rsidRPr="00E304DE" w:rsidRDefault="005F7387" w:rsidP="005F7387">
      <w:pPr>
        <w:rPr>
          <w:sz w:val="10"/>
          <w:szCs w:val="10"/>
        </w:rPr>
      </w:pPr>
    </w:p>
    <w:tbl>
      <w:tblPr>
        <w:tblW w:w="1063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2"/>
        <w:gridCol w:w="3868"/>
        <w:gridCol w:w="3869"/>
        <w:gridCol w:w="993"/>
      </w:tblGrid>
      <w:tr w:rsidR="005F7387" w14:paraId="47DC9837" w14:textId="77777777" w:rsidTr="006B787F">
        <w:trPr>
          <w:trHeight w:val="454"/>
        </w:trPr>
        <w:tc>
          <w:tcPr>
            <w:tcW w:w="1063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CB256B" w14:textId="040EE961" w:rsidR="005F7387" w:rsidRDefault="005F7387" w:rsidP="006B787F">
            <w:pPr>
              <w:jc w:val="center"/>
              <w:rPr>
                <w:b/>
              </w:rPr>
            </w:pPr>
            <w:r>
              <w:rPr>
                <w:b/>
              </w:rPr>
              <w:t xml:space="preserve">DH 301 Reflective </w:t>
            </w:r>
            <w:r w:rsidR="00245C68">
              <w:rPr>
                <w:b/>
              </w:rPr>
              <w:t>Journaling</w:t>
            </w:r>
            <w:r>
              <w:rPr>
                <w:b/>
              </w:rPr>
              <w:t xml:space="preserve"> Rubric</w:t>
            </w:r>
          </w:p>
          <w:p w14:paraId="396726C1" w14:textId="77777777" w:rsidR="005F7387" w:rsidRDefault="005F7387" w:rsidP="006B787F">
            <w:pPr>
              <w:jc w:val="center"/>
              <w:rPr>
                <w:b/>
              </w:rPr>
            </w:pPr>
          </w:p>
          <w:p w14:paraId="45468C62" w14:textId="77777777" w:rsidR="005F7387" w:rsidRDefault="005F7387" w:rsidP="006B787F">
            <w:pPr>
              <w:rPr>
                <w:b/>
              </w:rPr>
            </w:pPr>
            <w:r>
              <w:rPr>
                <w:b/>
              </w:rPr>
              <w:t xml:space="preserve">Journals 1-8 and final self-reflection: </w:t>
            </w:r>
          </w:p>
          <w:p w14:paraId="3E847660" w14:textId="77777777" w:rsidR="005F7387" w:rsidRPr="00AA7964" w:rsidRDefault="005F7387" w:rsidP="006B787F">
            <w:pPr>
              <w:pStyle w:val="ListParagraph"/>
              <w:numPr>
                <w:ilvl w:val="0"/>
                <w:numId w:val="2"/>
              </w:numPr>
              <w:contextualSpacing w:val="0"/>
              <w:rPr>
                <w:bCs/>
              </w:rPr>
            </w:pPr>
            <w:r w:rsidRPr="00AA7964">
              <w:rPr>
                <w:bCs/>
              </w:rPr>
              <w:t xml:space="preserve">Each reflection has a maximum score of 5. </w:t>
            </w:r>
          </w:p>
          <w:p w14:paraId="7ABE147E" w14:textId="77777777" w:rsidR="005F7387" w:rsidRPr="00AA7964" w:rsidRDefault="005F7387" w:rsidP="006B787F">
            <w:pPr>
              <w:pStyle w:val="ListParagraph"/>
              <w:numPr>
                <w:ilvl w:val="0"/>
                <w:numId w:val="2"/>
              </w:numPr>
              <w:contextualSpacing w:val="0"/>
              <w:rPr>
                <w:bCs/>
              </w:rPr>
            </w:pPr>
            <w:r w:rsidRPr="00AA7964">
              <w:rPr>
                <w:bCs/>
              </w:rPr>
              <w:t>Overall maximum score achievable = 45 points</w:t>
            </w:r>
          </w:p>
          <w:p w14:paraId="69251AE2" w14:textId="77777777" w:rsidR="005F7387" w:rsidRDefault="005F7387" w:rsidP="006B787F">
            <w:pPr>
              <w:pStyle w:val="ListParagraph"/>
              <w:numPr>
                <w:ilvl w:val="0"/>
                <w:numId w:val="2"/>
              </w:numPr>
              <w:contextualSpacing w:val="0"/>
              <w:rPr>
                <w:b/>
              </w:rPr>
            </w:pPr>
            <w:r w:rsidRPr="00AA7964">
              <w:rPr>
                <w:bCs/>
              </w:rPr>
              <w:t>Overall minimum score required to successfully complete the requirement: 80%</w:t>
            </w:r>
            <w:r w:rsidRPr="00AA7964">
              <w:rPr>
                <w:b/>
              </w:rPr>
              <w:t xml:space="preserve"> </w:t>
            </w:r>
          </w:p>
          <w:p w14:paraId="4F854CB5" w14:textId="77777777" w:rsidR="005F7387" w:rsidRPr="00AA7964" w:rsidRDefault="005F7387" w:rsidP="006B787F">
            <w:pPr>
              <w:pStyle w:val="ListParagraph"/>
              <w:rPr>
                <w:b/>
              </w:rPr>
            </w:pPr>
          </w:p>
        </w:tc>
      </w:tr>
      <w:tr w:rsidR="005F7387" w14:paraId="0DB93874" w14:textId="77777777" w:rsidTr="006B787F">
        <w:trPr>
          <w:trHeight w:val="454"/>
        </w:trPr>
        <w:tc>
          <w:tcPr>
            <w:tcW w:w="190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C8555C" w14:textId="77777777" w:rsidR="005F7387" w:rsidRPr="009B3928" w:rsidRDefault="005F7387" w:rsidP="006B787F">
            <w:pPr>
              <w:jc w:val="center"/>
              <w:rPr>
                <w:b/>
              </w:rPr>
            </w:pPr>
            <w:r w:rsidRPr="009B3928">
              <w:rPr>
                <w:b/>
              </w:rPr>
              <w:t>Criteria</w:t>
            </w:r>
          </w:p>
        </w:tc>
        <w:tc>
          <w:tcPr>
            <w:tcW w:w="3868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7FB364" w14:textId="77777777" w:rsidR="005F7387" w:rsidRPr="00E304DE" w:rsidRDefault="005F7387" w:rsidP="006B787F">
            <w:pPr>
              <w:jc w:val="center"/>
            </w:pPr>
            <w:r w:rsidRPr="009B3928">
              <w:rPr>
                <w:b/>
              </w:rPr>
              <w:t>Meets Expectations - Successful (S)</w:t>
            </w:r>
          </w:p>
        </w:tc>
        <w:tc>
          <w:tcPr>
            <w:tcW w:w="386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11DEAA" w14:textId="77777777" w:rsidR="005F7387" w:rsidRPr="00E304DE" w:rsidRDefault="005F7387" w:rsidP="006B787F">
            <w:pPr>
              <w:jc w:val="center"/>
            </w:pPr>
            <w:r w:rsidRPr="009B3928">
              <w:rPr>
                <w:b/>
              </w:rPr>
              <w:t>Below Expectations - Unsuccessful (U)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9809B5" w14:textId="77777777" w:rsidR="005F7387" w:rsidRPr="009B3928" w:rsidRDefault="005F7387" w:rsidP="006B787F">
            <w:pPr>
              <w:jc w:val="center"/>
              <w:rPr>
                <w:b/>
              </w:rPr>
            </w:pPr>
            <w:r>
              <w:rPr>
                <w:b/>
              </w:rPr>
              <w:t>Score</w:t>
            </w:r>
          </w:p>
        </w:tc>
      </w:tr>
      <w:tr w:rsidR="005F7387" w14:paraId="591F9463" w14:textId="77777777" w:rsidTr="006B787F">
        <w:tc>
          <w:tcPr>
            <w:tcW w:w="1902" w:type="dxa"/>
            <w:shd w:val="clear" w:color="auto" w:fill="auto"/>
            <w:vAlign w:val="center"/>
          </w:tcPr>
          <w:p w14:paraId="15B76980" w14:textId="77777777" w:rsidR="005F7387" w:rsidRPr="005E5B04" w:rsidRDefault="005F7387" w:rsidP="006B787F">
            <w:pPr>
              <w:jc w:val="center"/>
              <w:rPr>
                <w:b/>
                <w:bCs/>
                <w:sz w:val="22"/>
                <w:szCs w:val="19"/>
              </w:rPr>
            </w:pPr>
            <w:r w:rsidRPr="005E5B04">
              <w:rPr>
                <w:b/>
                <w:bCs/>
                <w:sz w:val="22"/>
                <w:szCs w:val="19"/>
              </w:rPr>
              <w:t>Content</w:t>
            </w:r>
          </w:p>
          <w:p w14:paraId="3856FF2F" w14:textId="77777777" w:rsidR="005F7387" w:rsidRPr="005E5B04" w:rsidRDefault="005F7387" w:rsidP="006B787F">
            <w:pPr>
              <w:jc w:val="center"/>
              <w:rPr>
                <w:b/>
                <w:bCs/>
                <w:sz w:val="22"/>
                <w:szCs w:val="19"/>
              </w:rPr>
            </w:pPr>
          </w:p>
          <w:p w14:paraId="7C8883F0" w14:textId="77777777" w:rsidR="005F7387" w:rsidRPr="00DB0534" w:rsidRDefault="005F7387" w:rsidP="006B787F">
            <w:pPr>
              <w:jc w:val="center"/>
              <w:rPr>
                <w:sz w:val="22"/>
                <w:szCs w:val="19"/>
              </w:rPr>
            </w:pPr>
            <w:r w:rsidRPr="005E5B04">
              <w:rPr>
                <w:b/>
                <w:bCs/>
                <w:sz w:val="22"/>
                <w:szCs w:val="19"/>
              </w:rPr>
              <w:t xml:space="preserve">/ </w:t>
            </w:r>
            <w:r>
              <w:rPr>
                <w:b/>
                <w:bCs/>
                <w:sz w:val="22"/>
                <w:szCs w:val="19"/>
              </w:rPr>
              <w:t>3</w:t>
            </w:r>
          </w:p>
        </w:tc>
        <w:tc>
          <w:tcPr>
            <w:tcW w:w="3868" w:type="dxa"/>
            <w:shd w:val="clear" w:color="auto" w:fill="auto"/>
          </w:tcPr>
          <w:p w14:paraId="1C3A9489" w14:textId="77777777" w:rsidR="005F7387" w:rsidRPr="00BF6B98" w:rsidRDefault="005F7387" w:rsidP="006B787F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b/>
                <w:szCs w:val="18"/>
              </w:rPr>
            </w:pPr>
            <w:r w:rsidRPr="00BF6B98">
              <w:rPr>
                <w:szCs w:val="18"/>
              </w:rPr>
              <w:t>Describes the topic with sufficient detail.</w:t>
            </w:r>
          </w:p>
          <w:p w14:paraId="0E611979" w14:textId="77777777" w:rsidR="005F7387" w:rsidRPr="00BF6B98" w:rsidRDefault="005F7387" w:rsidP="006B787F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b/>
                <w:szCs w:val="18"/>
              </w:rPr>
            </w:pPr>
            <w:r w:rsidRPr="00BF6B98">
              <w:rPr>
                <w:szCs w:val="18"/>
              </w:rPr>
              <w:t>Usually focuses on important information and details.</w:t>
            </w:r>
          </w:p>
          <w:p w14:paraId="3E1AF84C" w14:textId="77777777" w:rsidR="005F7387" w:rsidRPr="00BF6B98" w:rsidRDefault="005F7387" w:rsidP="006B787F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szCs w:val="18"/>
              </w:rPr>
            </w:pPr>
            <w:r w:rsidRPr="00BF6B98">
              <w:rPr>
                <w:szCs w:val="18"/>
              </w:rPr>
              <w:t>Usually identifies key points / relationships between ideas.</w:t>
            </w:r>
          </w:p>
          <w:p w14:paraId="2BB43E13" w14:textId="77777777" w:rsidR="005F7387" w:rsidRPr="00BF6B98" w:rsidRDefault="005F7387" w:rsidP="006B787F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szCs w:val="18"/>
              </w:rPr>
            </w:pPr>
            <w:r w:rsidRPr="00BF6B98">
              <w:rPr>
                <w:szCs w:val="18"/>
              </w:rPr>
              <w:t>Explanations are sufficiently focused and developed, and usually logical.</w:t>
            </w:r>
          </w:p>
          <w:p w14:paraId="3CBE16CD" w14:textId="77777777" w:rsidR="005F7387" w:rsidRPr="00BF6B98" w:rsidRDefault="005F7387" w:rsidP="006B787F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szCs w:val="18"/>
              </w:rPr>
            </w:pPr>
            <w:r w:rsidRPr="00BF6B98">
              <w:rPr>
                <w:szCs w:val="18"/>
              </w:rPr>
              <w:t>Usually supports ideas with sound rationales and/or relevant evidence (including references).</w:t>
            </w:r>
          </w:p>
          <w:p w14:paraId="637D7D47" w14:textId="77777777" w:rsidR="005F7387" w:rsidRPr="00BF6B98" w:rsidRDefault="005F7387" w:rsidP="006B787F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szCs w:val="18"/>
              </w:rPr>
            </w:pPr>
            <w:r w:rsidRPr="00BF6B98">
              <w:rPr>
                <w:szCs w:val="18"/>
              </w:rPr>
              <w:t>Demonstrates an adequate level of critical thinking ability.</w:t>
            </w:r>
          </w:p>
          <w:p w14:paraId="603BFF95" w14:textId="77777777" w:rsidR="005F7387" w:rsidRPr="00BF6B98" w:rsidRDefault="005F7387" w:rsidP="006B787F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szCs w:val="18"/>
              </w:rPr>
            </w:pPr>
            <w:r w:rsidRPr="00BF6B98">
              <w:rPr>
                <w:szCs w:val="18"/>
              </w:rPr>
              <w:t>Relates the topic to previous experiences and/or to dental hygiene theory and /practice with adequate depth.</w:t>
            </w:r>
          </w:p>
        </w:tc>
        <w:tc>
          <w:tcPr>
            <w:tcW w:w="3869" w:type="dxa"/>
            <w:shd w:val="clear" w:color="auto" w:fill="auto"/>
          </w:tcPr>
          <w:p w14:paraId="78C8DB74" w14:textId="77777777" w:rsidR="005F7387" w:rsidRPr="00BF6B98" w:rsidRDefault="005F7387" w:rsidP="006B787F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szCs w:val="18"/>
              </w:rPr>
            </w:pPr>
            <w:r w:rsidRPr="00BF6B98">
              <w:rPr>
                <w:szCs w:val="18"/>
              </w:rPr>
              <w:t>Does not describe the topic with sufficient detail.</w:t>
            </w:r>
          </w:p>
          <w:p w14:paraId="4C97F9A9" w14:textId="77777777" w:rsidR="005F7387" w:rsidRPr="00BF6B98" w:rsidRDefault="005F7387" w:rsidP="006B787F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szCs w:val="18"/>
              </w:rPr>
            </w:pPr>
            <w:r w:rsidRPr="00BF6B98">
              <w:rPr>
                <w:szCs w:val="18"/>
              </w:rPr>
              <w:t>Does not focus on important information or details.</w:t>
            </w:r>
          </w:p>
          <w:p w14:paraId="7D51A048" w14:textId="77777777" w:rsidR="005F7387" w:rsidRPr="00BF6B98" w:rsidRDefault="005F7387" w:rsidP="006B787F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szCs w:val="18"/>
              </w:rPr>
            </w:pPr>
            <w:r w:rsidRPr="00BF6B98">
              <w:rPr>
                <w:szCs w:val="18"/>
              </w:rPr>
              <w:t>Often fails to identify key points / relationship(s) between ideas.</w:t>
            </w:r>
          </w:p>
          <w:p w14:paraId="3F7EECD5" w14:textId="77777777" w:rsidR="005F7387" w:rsidRPr="00BF6B98" w:rsidRDefault="005F7387" w:rsidP="006B787F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szCs w:val="18"/>
              </w:rPr>
            </w:pPr>
            <w:r w:rsidRPr="00BF6B98">
              <w:rPr>
                <w:szCs w:val="18"/>
              </w:rPr>
              <w:t xml:space="preserve">Explanations are often tenuous and vague, not fully developed, and/or not logical. </w:t>
            </w:r>
          </w:p>
          <w:p w14:paraId="035078D4" w14:textId="77777777" w:rsidR="005F7387" w:rsidRPr="00BF6B98" w:rsidRDefault="005F7387" w:rsidP="006B787F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szCs w:val="18"/>
              </w:rPr>
            </w:pPr>
            <w:r w:rsidRPr="00BF6B98">
              <w:rPr>
                <w:szCs w:val="18"/>
              </w:rPr>
              <w:t>Provides little or no support or rationales for ideas (including references).</w:t>
            </w:r>
          </w:p>
          <w:p w14:paraId="41382180" w14:textId="77777777" w:rsidR="005F7387" w:rsidRPr="00BF6B98" w:rsidRDefault="005F7387" w:rsidP="006B787F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szCs w:val="18"/>
              </w:rPr>
            </w:pPr>
            <w:r w:rsidRPr="00BF6B98">
              <w:rPr>
                <w:szCs w:val="18"/>
              </w:rPr>
              <w:t>Demonstrates some, but limited, critical thinking ability.</w:t>
            </w:r>
          </w:p>
          <w:p w14:paraId="216A0618" w14:textId="77777777" w:rsidR="005F7387" w:rsidRPr="00BF6B98" w:rsidRDefault="005F7387" w:rsidP="006B787F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szCs w:val="18"/>
              </w:rPr>
            </w:pPr>
            <w:r w:rsidRPr="00BF6B98">
              <w:rPr>
                <w:szCs w:val="18"/>
              </w:rPr>
              <w:t>Does not relate the topic to previous experiences and/or to dental hygiene theory and /practice.</w:t>
            </w:r>
          </w:p>
        </w:tc>
        <w:tc>
          <w:tcPr>
            <w:tcW w:w="993" w:type="dxa"/>
            <w:shd w:val="clear" w:color="auto" w:fill="auto"/>
          </w:tcPr>
          <w:p w14:paraId="7B7881FC" w14:textId="76BFD7D6" w:rsidR="005F7387" w:rsidRPr="00E304DE" w:rsidRDefault="001F643E" w:rsidP="006B787F">
            <w:r>
              <w:t>3</w:t>
            </w:r>
          </w:p>
        </w:tc>
      </w:tr>
      <w:tr w:rsidR="005F7387" w14:paraId="55DCCADC" w14:textId="77777777" w:rsidTr="006B787F">
        <w:tc>
          <w:tcPr>
            <w:tcW w:w="1902" w:type="dxa"/>
            <w:shd w:val="clear" w:color="auto" w:fill="auto"/>
            <w:vAlign w:val="center"/>
          </w:tcPr>
          <w:p w14:paraId="2B8C6CC3" w14:textId="77777777" w:rsidR="005F7387" w:rsidRPr="00726498" w:rsidRDefault="005F7387" w:rsidP="006B787F">
            <w:pPr>
              <w:pStyle w:val="ListParagraph"/>
              <w:ind w:left="170"/>
              <w:jc w:val="center"/>
              <w:rPr>
                <w:b/>
                <w:bCs/>
                <w:sz w:val="22"/>
                <w:szCs w:val="19"/>
              </w:rPr>
            </w:pPr>
            <w:r w:rsidRPr="00726498">
              <w:rPr>
                <w:b/>
                <w:bCs/>
                <w:sz w:val="22"/>
                <w:szCs w:val="19"/>
              </w:rPr>
              <w:t>Communication</w:t>
            </w:r>
          </w:p>
          <w:p w14:paraId="453543AA" w14:textId="77777777" w:rsidR="005F7387" w:rsidRPr="00726498" w:rsidRDefault="005F7387" w:rsidP="006B787F">
            <w:pPr>
              <w:pStyle w:val="ListParagraph"/>
              <w:ind w:left="170"/>
              <w:jc w:val="center"/>
              <w:rPr>
                <w:b/>
                <w:bCs/>
                <w:sz w:val="22"/>
                <w:szCs w:val="19"/>
              </w:rPr>
            </w:pPr>
          </w:p>
          <w:p w14:paraId="2771ADE5" w14:textId="77777777" w:rsidR="005F7387" w:rsidRPr="00726498" w:rsidRDefault="005F7387" w:rsidP="006B787F">
            <w:pPr>
              <w:pStyle w:val="ListParagraph"/>
              <w:ind w:left="170"/>
              <w:jc w:val="center"/>
              <w:rPr>
                <w:b/>
                <w:bCs/>
                <w:sz w:val="22"/>
                <w:szCs w:val="19"/>
              </w:rPr>
            </w:pPr>
            <w:r w:rsidRPr="00726498">
              <w:rPr>
                <w:b/>
                <w:bCs/>
                <w:sz w:val="22"/>
                <w:szCs w:val="19"/>
              </w:rPr>
              <w:t xml:space="preserve">/ </w:t>
            </w:r>
            <w:r>
              <w:rPr>
                <w:b/>
                <w:bCs/>
                <w:sz w:val="22"/>
                <w:szCs w:val="19"/>
              </w:rPr>
              <w:t>1</w:t>
            </w:r>
          </w:p>
        </w:tc>
        <w:tc>
          <w:tcPr>
            <w:tcW w:w="3868" w:type="dxa"/>
            <w:shd w:val="clear" w:color="auto" w:fill="auto"/>
          </w:tcPr>
          <w:p w14:paraId="4F28FB90" w14:textId="77777777" w:rsidR="005F7387" w:rsidRPr="00BF6B98" w:rsidRDefault="005F7387" w:rsidP="006B787F">
            <w:pPr>
              <w:pStyle w:val="Default"/>
              <w:numPr>
                <w:ilvl w:val="0"/>
                <w:numId w:val="1"/>
              </w:numPr>
              <w:rPr>
                <w:sz w:val="20"/>
                <w:szCs w:val="20"/>
                <w:lang w:val="en-GB"/>
              </w:rPr>
            </w:pPr>
            <w:proofErr w:type="gramStart"/>
            <w:r w:rsidRPr="3A4C0F48">
              <w:rPr>
                <w:sz w:val="20"/>
                <w:szCs w:val="20"/>
                <w:lang w:val="en-GB"/>
              </w:rPr>
              <w:t>Generally</w:t>
            </w:r>
            <w:proofErr w:type="gramEnd"/>
            <w:r w:rsidRPr="3A4C0F48">
              <w:rPr>
                <w:sz w:val="20"/>
                <w:szCs w:val="20"/>
                <w:lang w:val="en-GB"/>
              </w:rPr>
              <w:t xml:space="preserve"> uses a fluid style of writing that informs and convinces. </w:t>
            </w:r>
          </w:p>
          <w:p w14:paraId="7247A730" w14:textId="77777777" w:rsidR="005F7387" w:rsidRPr="00BF6B98" w:rsidRDefault="005F7387" w:rsidP="006B787F">
            <w:pPr>
              <w:pStyle w:val="Default"/>
              <w:numPr>
                <w:ilvl w:val="0"/>
                <w:numId w:val="1"/>
              </w:numPr>
              <w:rPr>
                <w:sz w:val="20"/>
                <w:szCs w:val="18"/>
              </w:rPr>
            </w:pPr>
            <w:r w:rsidRPr="00BF6B98">
              <w:rPr>
                <w:sz w:val="20"/>
                <w:szCs w:val="18"/>
              </w:rPr>
              <w:t>Usually uses professional terminology.</w:t>
            </w:r>
          </w:p>
          <w:p w14:paraId="41E5E183" w14:textId="77777777" w:rsidR="005F7387" w:rsidRPr="00BF6B98" w:rsidRDefault="005F7387" w:rsidP="006B787F">
            <w:pPr>
              <w:pStyle w:val="Default"/>
              <w:numPr>
                <w:ilvl w:val="0"/>
                <w:numId w:val="1"/>
              </w:numPr>
              <w:rPr>
                <w:sz w:val="20"/>
                <w:szCs w:val="20"/>
                <w:lang w:val="en-GB"/>
              </w:rPr>
            </w:pPr>
            <w:proofErr w:type="gramStart"/>
            <w:r w:rsidRPr="09D41AD3">
              <w:rPr>
                <w:sz w:val="20"/>
                <w:szCs w:val="20"/>
                <w:lang w:val="en-GB"/>
              </w:rPr>
              <w:t>Usually</w:t>
            </w:r>
            <w:proofErr w:type="gramEnd"/>
            <w:r w:rsidRPr="09D41AD3">
              <w:rPr>
                <w:sz w:val="20"/>
                <w:szCs w:val="20"/>
                <w:lang w:val="en-GB"/>
              </w:rPr>
              <w:t xml:space="preserve"> sequences ideas logically.</w:t>
            </w:r>
          </w:p>
          <w:p w14:paraId="2B0928D8" w14:textId="77777777" w:rsidR="005F7387" w:rsidRPr="3A4C0F48" w:rsidRDefault="005F7387" w:rsidP="006B787F">
            <w:pPr>
              <w:pStyle w:val="Default"/>
              <w:numPr>
                <w:ilvl w:val="0"/>
                <w:numId w:val="1"/>
              </w:numPr>
              <w:rPr>
                <w:sz w:val="20"/>
                <w:szCs w:val="20"/>
                <w:lang w:val="en-GB"/>
              </w:rPr>
            </w:pPr>
            <w:r w:rsidRPr="005B1D5C">
              <w:rPr>
                <w:sz w:val="20"/>
                <w:szCs w:val="14"/>
              </w:rPr>
              <w:t>Satisfactorily uses English language conventions; may include some weaknesses, but no meaning is lost.</w:t>
            </w:r>
          </w:p>
        </w:tc>
        <w:tc>
          <w:tcPr>
            <w:tcW w:w="3869" w:type="dxa"/>
            <w:shd w:val="clear" w:color="auto" w:fill="auto"/>
          </w:tcPr>
          <w:p w14:paraId="1970C089" w14:textId="77777777" w:rsidR="005F7387" w:rsidRPr="00BF6B98" w:rsidRDefault="005F7387" w:rsidP="006B787F">
            <w:pPr>
              <w:pStyle w:val="Default"/>
              <w:numPr>
                <w:ilvl w:val="0"/>
                <w:numId w:val="1"/>
              </w:numPr>
              <w:rPr>
                <w:sz w:val="20"/>
                <w:szCs w:val="18"/>
              </w:rPr>
            </w:pPr>
            <w:r w:rsidRPr="00BF6B98">
              <w:rPr>
                <w:sz w:val="20"/>
                <w:szCs w:val="18"/>
              </w:rPr>
              <w:t>Demonstrates a lack of coherency and clarity in the writing.</w:t>
            </w:r>
          </w:p>
          <w:p w14:paraId="159707FC" w14:textId="77777777" w:rsidR="005F7387" w:rsidRPr="00BF6B98" w:rsidRDefault="005F7387" w:rsidP="006B787F">
            <w:pPr>
              <w:pStyle w:val="Default"/>
              <w:numPr>
                <w:ilvl w:val="0"/>
                <w:numId w:val="1"/>
              </w:numPr>
              <w:rPr>
                <w:sz w:val="20"/>
                <w:szCs w:val="18"/>
              </w:rPr>
            </w:pPr>
            <w:r w:rsidRPr="00BF6B98">
              <w:rPr>
                <w:sz w:val="20"/>
                <w:szCs w:val="18"/>
              </w:rPr>
              <w:t>Limited or no use of professional terminology.</w:t>
            </w:r>
          </w:p>
          <w:p w14:paraId="5E1A1B92" w14:textId="77777777" w:rsidR="005F7387" w:rsidRPr="00BF6B98" w:rsidRDefault="005F7387" w:rsidP="006B787F">
            <w:pPr>
              <w:pStyle w:val="Default"/>
              <w:numPr>
                <w:ilvl w:val="0"/>
                <w:numId w:val="1"/>
              </w:numPr>
              <w:rPr>
                <w:sz w:val="20"/>
                <w:szCs w:val="18"/>
              </w:rPr>
            </w:pPr>
            <w:r w:rsidRPr="00BF6B98">
              <w:rPr>
                <w:sz w:val="20"/>
                <w:szCs w:val="18"/>
              </w:rPr>
              <w:t>Ideas not logically sequenced.</w:t>
            </w:r>
          </w:p>
          <w:p w14:paraId="2AA0A5C1" w14:textId="77777777" w:rsidR="005F7387" w:rsidRPr="00BF6B98" w:rsidRDefault="005F7387" w:rsidP="006B787F">
            <w:pPr>
              <w:pStyle w:val="Default"/>
              <w:numPr>
                <w:ilvl w:val="0"/>
                <w:numId w:val="1"/>
              </w:numPr>
              <w:rPr>
                <w:sz w:val="20"/>
                <w:szCs w:val="18"/>
              </w:rPr>
            </w:pPr>
            <w:r w:rsidRPr="3A4C0F48">
              <w:rPr>
                <w:sz w:val="20"/>
                <w:szCs w:val="20"/>
                <w:lang w:val="en-GB"/>
              </w:rPr>
              <w:t>Often fails to integrate English language conventions and /or meaning is lost</w:t>
            </w:r>
          </w:p>
        </w:tc>
        <w:tc>
          <w:tcPr>
            <w:tcW w:w="993" w:type="dxa"/>
            <w:shd w:val="clear" w:color="auto" w:fill="auto"/>
          </w:tcPr>
          <w:p w14:paraId="70039E4C" w14:textId="66A8D9FE" w:rsidR="005F7387" w:rsidRPr="00E304DE" w:rsidRDefault="001F643E" w:rsidP="006B787F">
            <w:r>
              <w:t>1</w:t>
            </w:r>
          </w:p>
        </w:tc>
      </w:tr>
      <w:tr w:rsidR="005F7387" w14:paraId="4FC2005C" w14:textId="77777777" w:rsidTr="006B787F">
        <w:trPr>
          <w:trHeight w:val="1798"/>
        </w:trPr>
        <w:tc>
          <w:tcPr>
            <w:tcW w:w="1902" w:type="dxa"/>
            <w:vMerge w:val="restart"/>
            <w:shd w:val="clear" w:color="auto" w:fill="auto"/>
            <w:vAlign w:val="center"/>
          </w:tcPr>
          <w:p w14:paraId="125F4080" w14:textId="77777777" w:rsidR="005F7387" w:rsidRPr="00726498" w:rsidRDefault="005F7387" w:rsidP="006B787F">
            <w:pPr>
              <w:pStyle w:val="ListParagraph"/>
              <w:ind w:left="170"/>
              <w:jc w:val="center"/>
              <w:rPr>
                <w:b/>
                <w:bCs/>
                <w:sz w:val="22"/>
                <w:szCs w:val="19"/>
              </w:rPr>
            </w:pPr>
            <w:r>
              <w:rPr>
                <w:b/>
                <w:bCs/>
                <w:sz w:val="22"/>
                <w:szCs w:val="19"/>
              </w:rPr>
              <w:t>Referencing</w:t>
            </w:r>
          </w:p>
          <w:p w14:paraId="6B3A3B86" w14:textId="77777777" w:rsidR="005F7387" w:rsidRPr="00726498" w:rsidRDefault="005F7387" w:rsidP="006B787F">
            <w:pPr>
              <w:pStyle w:val="ListParagraph"/>
              <w:ind w:left="170"/>
              <w:jc w:val="center"/>
              <w:rPr>
                <w:b/>
                <w:bCs/>
                <w:sz w:val="22"/>
                <w:szCs w:val="19"/>
              </w:rPr>
            </w:pPr>
          </w:p>
          <w:p w14:paraId="340A7965" w14:textId="77777777" w:rsidR="005F7387" w:rsidRPr="005E5B04" w:rsidRDefault="005F7387" w:rsidP="006B787F">
            <w:pPr>
              <w:pStyle w:val="ListParagraph"/>
              <w:ind w:left="170"/>
              <w:jc w:val="center"/>
              <w:rPr>
                <w:b/>
                <w:bCs/>
                <w:sz w:val="22"/>
                <w:szCs w:val="19"/>
              </w:rPr>
            </w:pPr>
            <w:r w:rsidRPr="00726498">
              <w:rPr>
                <w:b/>
                <w:bCs/>
                <w:sz w:val="22"/>
                <w:szCs w:val="19"/>
              </w:rPr>
              <w:t xml:space="preserve">/ </w:t>
            </w:r>
            <w:r>
              <w:rPr>
                <w:b/>
                <w:bCs/>
                <w:sz w:val="22"/>
                <w:szCs w:val="19"/>
              </w:rPr>
              <w:t>1</w:t>
            </w:r>
          </w:p>
        </w:tc>
        <w:tc>
          <w:tcPr>
            <w:tcW w:w="3868" w:type="dxa"/>
            <w:shd w:val="clear" w:color="auto" w:fill="auto"/>
          </w:tcPr>
          <w:p w14:paraId="10DFD8F5" w14:textId="77777777" w:rsidR="005F7387" w:rsidRPr="006C3F9D" w:rsidRDefault="005F7387" w:rsidP="006B787F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szCs w:val="18"/>
              </w:rPr>
            </w:pPr>
            <w:r w:rsidRPr="00D731BB">
              <w:t>Consistently uses credible information from reliable sources of literature to support information that is not considered common knowledge</w:t>
            </w:r>
            <w:r>
              <w:t>.</w:t>
            </w:r>
          </w:p>
          <w:p w14:paraId="7692EA7E" w14:textId="77777777" w:rsidR="005F7387" w:rsidRPr="00BF6B98" w:rsidRDefault="005F7387" w:rsidP="006B787F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szCs w:val="18"/>
              </w:rPr>
            </w:pPr>
            <w:r>
              <w:t>LITERATURE CITED page and c</w:t>
            </w:r>
            <w:r w:rsidRPr="00D731BB">
              <w:t>itation(s) is/are accurately formatted using CADH’s Vancouver referencing style both in-text and on the LITERATURE CITED page (no</w:t>
            </w:r>
            <w:r>
              <w:t xml:space="preserve"> more than 1-2 minor</w:t>
            </w:r>
            <w:r w:rsidRPr="00D731BB">
              <w:t xml:space="preserve"> errors).</w:t>
            </w:r>
          </w:p>
        </w:tc>
        <w:tc>
          <w:tcPr>
            <w:tcW w:w="3869" w:type="dxa"/>
            <w:shd w:val="clear" w:color="auto" w:fill="auto"/>
          </w:tcPr>
          <w:p w14:paraId="7D3AEC84" w14:textId="77777777" w:rsidR="005F7387" w:rsidRPr="00317C99" w:rsidRDefault="005F7387" w:rsidP="006B787F">
            <w:pPr>
              <w:pStyle w:val="Default"/>
              <w:numPr>
                <w:ilvl w:val="0"/>
                <w:numId w:val="1"/>
              </w:numPr>
              <w:rPr>
                <w:sz w:val="20"/>
                <w:szCs w:val="20"/>
                <w:lang w:val="en-GB"/>
              </w:rPr>
            </w:pPr>
            <w:r w:rsidRPr="00341216">
              <w:rPr>
                <w:rFonts w:eastAsia="Times New Roman"/>
                <w:color w:val="auto"/>
                <w:sz w:val="20"/>
                <w:szCs w:val="20"/>
                <w:lang w:val="en-US"/>
              </w:rPr>
              <w:t>Information that is not common knowledge is cited, but information is often not credible and/or sources are frequently not reliable.</w:t>
            </w:r>
          </w:p>
          <w:p w14:paraId="589070D3" w14:textId="77777777" w:rsidR="005F7387" w:rsidRPr="00317C99" w:rsidRDefault="005F7387" w:rsidP="006B787F">
            <w:pPr>
              <w:pStyle w:val="Defaul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0E0DF4">
              <w:rPr>
                <w:sz w:val="20"/>
                <w:szCs w:val="20"/>
              </w:rPr>
              <w:t>Fair use of CADH Vancouver style, although some elements were missing or incorrect, either in-text or on the LITERATURE CITED page (</w:t>
            </w:r>
            <w:r>
              <w:rPr>
                <w:sz w:val="20"/>
                <w:szCs w:val="20"/>
              </w:rPr>
              <w:t>multiple errors</w:t>
            </w:r>
            <w:r w:rsidRPr="000E0DF4">
              <w:rPr>
                <w:sz w:val="20"/>
                <w:szCs w:val="20"/>
              </w:rPr>
              <w:t>).</w:t>
            </w:r>
          </w:p>
        </w:tc>
        <w:tc>
          <w:tcPr>
            <w:tcW w:w="993" w:type="dxa"/>
            <w:shd w:val="clear" w:color="auto" w:fill="auto"/>
          </w:tcPr>
          <w:p w14:paraId="384525A5" w14:textId="79770933" w:rsidR="005F7387" w:rsidRPr="00E304DE" w:rsidRDefault="001F643E" w:rsidP="006B787F">
            <w:r>
              <w:t>0.5</w:t>
            </w:r>
          </w:p>
        </w:tc>
      </w:tr>
      <w:tr w:rsidR="005F7387" w14:paraId="03950B36" w14:textId="77777777" w:rsidTr="006B787F">
        <w:tc>
          <w:tcPr>
            <w:tcW w:w="1902" w:type="dxa"/>
            <w:vMerge/>
            <w:shd w:val="clear" w:color="auto" w:fill="auto"/>
            <w:vAlign w:val="center"/>
          </w:tcPr>
          <w:p w14:paraId="6094A5F5" w14:textId="77777777" w:rsidR="005F7387" w:rsidRDefault="005F7387" w:rsidP="006B787F">
            <w:pPr>
              <w:pStyle w:val="ListParagraph"/>
              <w:ind w:left="170"/>
              <w:jc w:val="center"/>
              <w:rPr>
                <w:b/>
                <w:bCs/>
                <w:sz w:val="22"/>
                <w:szCs w:val="19"/>
              </w:rPr>
            </w:pPr>
          </w:p>
        </w:tc>
        <w:tc>
          <w:tcPr>
            <w:tcW w:w="7737" w:type="dxa"/>
            <w:gridSpan w:val="2"/>
            <w:shd w:val="clear" w:color="auto" w:fill="D9D9D9" w:themeFill="background1" w:themeFillShade="D9"/>
          </w:tcPr>
          <w:p w14:paraId="41AF8E5B" w14:textId="77777777" w:rsidR="005F7387" w:rsidRPr="00E5111D" w:rsidRDefault="005F7387" w:rsidP="006B787F">
            <w:pPr>
              <w:pStyle w:val="Default"/>
              <w:ind w:left="170"/>
              <w:rPr>
                <w:b/>
                <w:bCs/>
                <w:i/>
                <w:iCs/>
                <w:sz w:val="20"/>
                <w:szCs w:val="20"/>
                <w:lang w:val="en-GB"/>
              </w:rPr>
            </w:pPr>
            <w:r w:rsidRPr="00E5111D">
              <w:rPr>
                <w:rFonts w:ascii="Times" w:hAnsi="Times" w:cs="Times"/>
                <w:b/>
                <w:bCs/>
                <w:i/>
                <w:iCs/>
                <w:color w:val="auto"/>
                <w:sz w:val="20"/>
                <w:szCs w:val="20"/>
              </w:rPr>
              <w:t xml:space="preserve">** NOTE: Including plagiarized content will result in grade penalties and/or other consequences as outlined in the </w:t>
            </w:r>
            <w:r>
              <w:rPr>
                <w:rFonts w:ascii="Times" w:hAnsi="Times" w:cs="Times"/>
                <w:b/>
                <w:bCs/>
                <w:i/>
                <w:iCs/>
                <w:color w:val="auto"/>
                <w:sz w:val="20"/>
                <w:szCs w:val="20"/>
              </w:rPr>
              <w:t xml:space="preserve">CADH </w:t>
            </w:r>
            <w:r w:rsidRPr="00E5111D">
              <w:rPr>
                <w:rFonts w:ascii="Times" w:hAnsi="Times" w:cs="Times"/>
                <w:b/>
                <w:bCs/>
                <w:i/>
                <w:iCs/>
                <w:color w:val="auto"/>
                <w:sz w:val="20"/>
                <w:szCs w:val="20"/>
              </w:rPr>
              <w:t>Student Handbook.</w:t>
            </w:r>
          </w:p>
        </w:tc>
        <w:tc>
          <w:tcPr>
            <w:tcW w:w="993" w:type="dxa"/>
            <w:shd w:val="clear" w:color="auto" w:fill="auto"/>
          </w:tcPr>
          <w:p w14:paraId="06F5178C" w14:textId="16810215" w:rsidR="005F7387" w:rsidRPr="00E304DE" w:rsidRDefault="001F643E" w:rsidP="006B787F">
            <w:r>
              <w:t>4.5</w:t>
            </w:r>
          </w:p>
        </w:tc>
      </w:tr>
    </w:tbl>
    <w:p w14:paraId="07DBD6AF" w14:textId="77777777" w:rsidR="00EA7577" w:rsidRDefault="00EA7577"/>
    <w:sectPr w:rsidR="00EA757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482F8" w14:textId="77777777" w:rsidR="00005333" w:rsidRDefault="00005333">
      <w:r>
        <w:separator/>
      </w:r>
    </w:p>
  </w:endnote>
  <w:endnote w:type="continuationSeparator" w:id="0">
    <w:p w14:paraId="7FFA056E" w14:textId="77777777" w:rsidR="00005333" w:rsidRDefault="00005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Sylfaen"/>
    <w:panose1 w:val="020B06040202020202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DA201" w14:textId="77777777" w:rsidR="00005333" w:rsidRDefault="00005333">
      <w:r>
        <w:separator/>
      </w:r>
    </w:p>
  </w:footnote>
  <w:footnote w:type="continuationSeparator" w:id="0">
    <w:p w14:paraId="1BB88905" w14:textId="77777777" w:rsidR="00005333" w:rsidRDefault="000053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1E186" w14:textId="77777777" w:rsidR="0058359D" w:rsidRDefault="005835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27F34"/>
    <w:multiLevelType w:val="hybridMultilevel"/>
    <w:tmpl w:val="70000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74016"/>
    <w:multiLevelType w:val="hybridMultilevel"/>
    <w:tmpl w:val="B8869468"/>
    <w:lvl w:ilvl="0" w:tplc="967C8A62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98269F"/>
    <w:multiLevelType w:val="hybridMultilevel"/>
    <w:tmpl w:val="98AEC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2901A2"/>
    <w:multiLevelType w:val="hybridMultilevel"/>
    <w:tmpl w:val="98A44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CE6845"/>
    <w:multiLevelType w:val="hybridMultilevel"/>
    <w:tmpl w:val="BF468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3502700">
    <w:abstractNumId w:val="1"/>
  </w:num>
  <w:num w:numId="2" w16cid:durableId="120347840">
    <w:abstractNumId w:val="0"/>
  </w:num>
  <w:num w:numId="3" w16cid:durableId="1276861283">
    <w:abstractNumId w:val="3"/>
  </w:num>
  <w:num w:numId="4" w16cid:durableId="1009019551">
    <w:abstractNumId w:val="2"/>
  </w:num>
  <w:num w:numId="5" w16cid:durableId="13976290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387"/>
    <w:rsid w:val="00005333"/>
    <w:rsid w:val="00006783"/>
    <w:rsid w:val="00010066"/>
    <w:rsid w:val="00066CB8"/>
    <w:rsid w:val="000B787A"/>
    <w:rsid w:val="000E0F9F"/>
    <w:rsid w:val="000F78B2"/>
    <w:rsid w:val="0016688D"/>
    <w:rsid w:val="001D762C"/>
    <w:rsid w:val="001F643E"/>
    <w:rsid w:val="00213038"/>
    <w:rsid w:val="00213257"/>
    <w:rsid w:val="00235852"/>
    <w:rsid w:val="00244E40"/>
    <w:rsid w:val="00245C68"/>
    <w:rsid w:val="00251E41"/>
    <w:rsid w:val="00256C7C"/>
    <w:rsid w:val="002829E8"/>
    <w:rsid w:val="002B7375"/>
    <w:rsid w:val="002C0604"/>
    <w:rsid w:val="002C1A48"/>
    <w:rsid w:val="002C2137"/>
    <w:rsid w:val="002C7D86"/>
    <w:rsid w:val="002E3BC1"/>
    <w:rsid w:val="002E77BB"/>
    <w:rsid w:val="002F0940"/>
    <w:rsid w:val="00370C8A"/>
    <w:rsid w:val="00385F45"/>
    <w:rsid w:val="00390CBF"/>
    <w:rsid w:val="00400FFA"/>
    <w:rsid w:val="004326B7"/>
    <w:rsid w:val="00435BE3"/>
    <w:rsid w:val="004415BC"/>
    <w:rsid w:val="00455A32"/>
    <w:rsid w:val="004574C0"/>
    <w:rsid w:val="00475BB8"/>
    <w:rsid w:val="00481B52"/>
    <w:rsid w:val="00487277"/>
    <w:rsid w:val="004E6189"/>
    <w:rsid w:val="0050419D"/>
    <w:rsid w:val="005239BC"/>
    <w:rsid w:val="00582B21"/>
    <w:rsid w:val="0058359D"/>
    <w:rsid w:val="0058786A"/>
    <w:rsid w:val="005B3E1C"/>
    <w:rsid w:val="005C37DB"/>
    <w:rsid w:val="005E09DF"/>
    <w:rsid w:val="005F7387"/>
    <w:rsid w:val="00600DBB"/>
    <w:rsid w:val="00616F27"/>
    <w:rsid w:val="00655D6A"/>
    <w:rsid w:val="00670081"/>
    <w:rsid w:val="00697FAB"/>
    <w:rsid w:val="00731B01"/>
    <w:rsid w:val="0077423B"/>
    <w:rsid w:val="00791954"/>
    <w:rsid w:val="007B2B39"/>
    <w:rsid w:val="007B395D"/>
    <w:rsid w:val="007C4617"/>
    <w:rsid w:val="007E3C9F"/>
    <w:rsid w:val="008350EF"/>
    <w:rsid w:val="00874026"/>
    <w:rsid w:val="008957A0"/>
    <w:rsid w:val="008958AA"/>
    <w:rsid w:val="008C4998"/>
    <w:rsid w:val="008C5F2D"/>
    <w:rsid w:val="008D3339"/>
    <w:rsid w:val="008E5B9E"/>
    <w:rsid w:val="008F31D4"/>
    <w:rsid w:val="008F6108"/>
    <w:rsid w:val="0090335F"/>
    <w:rsid w:val="0091570C"/>
    <w:rsid w:val="00915717"/>
    <w:rsid w:val="0091583F"/>
    <w:rsid w:val="00975B3A"/>
    <w:rsid w:val="00992C14"/>
    <w:rsid w:val="009A153E"/>
    <w:rsid w:val="009C6E86"/>
    <w:rsid w:val="009D587C"/>
    <w:rsid w:val="00A1492B"/>
    <w:rsid w:val="00A15462"/>
    <w:rsid w:val="00AA2FC3"/>
    <w:rsid w:val="00AA3AC4"/>
    <w:rsid w:val="00AC469D"/>
    <w:rsid w:val="00B20351"/>
    <w:rsid w:val="00B25D9C"/>
    <w:rsid w:val="00B2739C"/>
    <w:rsid w:val="00B4176E"/>
    <w:rsid w:val="00B4481C"/>
    <w:rsid w:val="00B461F4"/>
    <w:rsid w:val="00B55826"/>
    <w:rsid w:val="00B64F9D"/>
    <w:rsid w:val="00B714AE"/>
    <w:rsid w:val="00B729D8"/>
    <w:rsid w:val="00B826C3"/>
    <w:rsid w:val="00B915E9"/>
    <w:rsid w:val="00C056B5"/>
    <w:rsid w:val="00C06101"/>
    <w:rsid w:val="00C22994"/>
    <w:rsid w:val="00C51699"/>
    <w:rsid w:val="00C908A9"/>
    <w:rsid w:val="00CA58A5"/>
    <w:rsid w:val="00CB60C7"/>
    <w:rsid w:val="00CC5B96"/>
    <w:rsid w:val="00CE674D"/>
    <w:rsid w:val="00D050E7"/>
    <w:rsid w:val="00D25598"/>
    <w:rsid w:val="00D47606"/>
    <w:rsid w:val="00D60089"/>
    <w:rsid w:val="00D72E11"/>
    <w:rsid w:val="00D77EE0"/>
    <w:rsid w:val="00DA591B"/>
    <w:rsid w:val="00DB2C47"/>
    <w:rsid w:val="00DC6397"/>
    <w:rsid w:val="00DD375E"/>
    <w:rsid w:val="00E00E21"/>
    <w:rsid w:val="00E34345"/>
    <w:rsid w:val="00E901ED"/>
    <w:rsid w:val="00EA3BD7"/>
    <w:rsid w:val="00EA7577"/>
    <w:rsid w:val="00EC34E3"/>
    <w:rsid w:val="00ED2DEA"/>
    <w:rsid w:val="00EE727B"/>
    <w:rsid w:val="00F07D19"/>
    <w:rsid w:val="00F134D0"/>
    <w:rsid w:val="00F55F41"/>
    <w:rsid w:val="00F97422"/>
    <w:rsid w:val="00FF6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8CAD24"/>
  <w15:chartTrackingRefBased/>
  <w15:docId w15:val="{F15A93F1-A968-2944-BF31-D4D8F6345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7387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73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73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73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73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73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738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738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738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738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73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73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73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73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73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73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73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73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73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738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73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738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73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738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7387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5F73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73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73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73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738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5F738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F7387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character" w:customStyle="1" w:styleId="ListParagraphChar">
    <w:name w:val="List Paragraph Char"/>
    <w:link w:val="ListParagraph"/>
    <w:uiPriority w:val="34"/>
    <w:rsid w:val="005F7387"/>
  </w:style>
  <w:style w:type="paragraph" w:customStyle="1" w:styleId="Default">
    <w:name w:val="Default"/>
    <w:rsid w:val="005F7387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kern w:val="0"/>
      <w14:ligatures w14:val="none"/>
    </w:rPr>
  </w:style>
  <w:style w:type="character" w:customStyle="1" w:styleId="textlayer--absolute">
    <w:name w:val="textlayer--absolute"/>
    <w:basedOn w:val="DefaultParagraphFont"/>
    <w:rsid w:val="005F7387"/>
  </w:style>
  <w:style w:type="character" w:styleId="Hyperlink">
    <w:name w:val="Hyperlink"/>
    <w:basedOn w:val="DefaultParagraphFont"/>
    <w:uiPriority w:val="99"/>
    <w:unhideWhenUsed/>
    <w:rsid w:val="00C056B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56B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35BE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files.cdha.ca/profession/journal/2134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sciencedirect.com/science/article/abs/pii/B97801237500060031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1612</Words>
  <Characters>9190</Characters>
  <Application>Microsoft Office Word</Application>
  <DocSecurity>0</DocSecurity>
  <Lines>76</Lines>
  <Paragraphs>21</Paragraphs>
  <ScaleCrop>false</ScaleCrop>
  <Company/>
  <LinksUpToDate>false</LinksUpToDate>
  <CharactersWithSpaces>10781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Walbauer (DH Oct 23)</dc:creator>
  <cp:keywords/>
  <dc:description/>
  <cp:lastModifiedBy>Megan Walbauer (DH Oct 23)</cp:lastModifiedBy>
  <cp:revision>2</cp:revision>
  <dcterms:created xsi:type="dcterms:W3CDTF">2025-01-10T19:40:00Z</dcterms:created>
  <dcterms:modified xsi:type="dcterms:W3CDTF">2025-01-10T19:40:00Z</dcterms:modified>
</cp:coreProperties>
</file>